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F9884" w14:textId="77777777" w:rsidR="00D174F1" w:rsidRPr="009E0EFA" w:rsidRDefault="009D50DC" w:rsidP="000E778F">
      <w:pPr>
        <w:pBdr>
          <w:bottom w:val="single" w:sz="4" w:space="1" w:color="auto"/>
        </w:pBdr>
        <w:jc w:val="center"/>
        <w:rPr>
          <w:b/>
          <w:bCs/>
          <w:color w:val="FF0000"/>
          <w:sz w:val="24"/>
          <w:szCs w:val="24"/>
        </w:rPr>
      </w:pPr>
      <w:bookmarkStart w:id="0" w:name="_GoBack"/>
      <w:bookmarkEnd w:id="0"/>
      <w:r w:rsidRPr="009E0EFA">
        <w:rPr>
          <w:b/>
          <w:bCs/>
          <w:color w:val="FF0000"/>
          <w:sz w:val="24"/>
          <w:szCs w:val="24"/>
        </w:rPr>
        <w:t>Chapitre 9 : Des échanges internationaux multipolaires</w:t>
      </w:r>
    </w:p>
    <w:p w14:paraId="795AC8C8" w14:textId="77777777" w:rsidR="00DA7215" w:rsidRPr="009E0EFA" w:rsidRDefault="00DA7215" w:rsidP="00DA7215">
      <w:pPr>
        <w:autoSpaceDE w:val="0"/>
        <w:autoSpaceDN w:val="0"/>
        <w:adjustRightInd w:val="0"/>
        <w:spacing w:after="0"/>
        <w:rPr>
          <w:rFonts w:cs="Calibri"/>
          <w:bCs/>
          <w:sz w:val="24"/>
          <w:szCs w:val="24"/>
          <w:u w:val="single"/>
        </w:rPr>
      </w:pPr>
      <w:r w:rsidRPr="009E0EFA">
        <w:rPr>
          <w:rFonts w:cs="Calibri"/>
          <w:bCs/>
          <w:sz w:val="24"/>
          <w:szCs w:val="24"/>
          <w:u w:val="single"/>
        </w:rPr>
        <w:t xml:space="preserve">Notions : </w:t>
      </w:r>
    </w:p>
    <w:p w14:paraId="2AD58FC7" w14:textId="77777777" w:rsidR="00DA7215" w:rsidRPr="009E0EFA" w:rsidRDefault="004C597B" w:rsidP="00DA7215">
      <w:pPr>
        <w:pStyle w:val="Pardeliste"/>
        <w:numPr>
          <w:ilvl w:val="0"/>
          <w:numId w:val="5"/>
        </w:numPr>
        <w:autoSpaceDE w:val="0"/>
        <w:autoSpaceDN w:val="0"/>
        <w:adjustRightInd w:val="0"/>
        <w:spacing w:after="0"/>
        <w:rPr>
          <w:bCs/>
          <w:sz w:val="24"/>
          <w:szCs w:val="24"/>
        </w:rPr>
      </w:pPr>
      <w:r w:rsidRPr="009E0EFA">
        <w:rPr>
          <w:bCs/>
          <w:sz w:val="24"/>
          <w:szCs w:val="24"/>
        </w:rPr>
        <w:t>LES IMPORTATIONS ET LES EXPORTATIONS DE BIENS ET SERVICES</w:t>
      </w:r>
    </w:p>
    <w:p w14:paraId="5DF98727" w14:textId="77777777" w:rsidR="00DA7215" w:rsidRPr="009E0EFA" w:rsidRDefault="004C597B" w:rsidP="00DA7215">
      <w:pPr>
        <w:pStyle w:val="Pardeliste"/>
        <w:numPr>
          <w:ilvl w:val="0"/>
          <w:numId w:val="5"/>
        </w:numPr>
        <w:autoSpaceDE w:val="0"/>
        <w:autoSpaceDN w:val="0"/>
        <w:adjustRightInd w:val="0"/>
        <w:rPr>
          <w:bCs/>
          <w:sz w:val="24"/>
          <w:szCs w:val="24"/>
        </w:rPr>
      </w:pPr>
      <w:r w:rsidRPr="009E0EFA">
        <w:rPr>
          <w:bCs/>
          <w:sz w:val="24"/>
          <w:szCs w:val="24"/>
        </w:rPr>
        <w:t>LA MESURE DES ECHANGES : BALANCE DES TRANSACTIONS COURANTES</w:t>
      </w:r>
    </w:p>
    <w:p w14:paraId="48C2D668" w14:textId="77777777" w:rsidR="00DA7215" w:rsidRPr="009E0EFA" w:rsidRDefault="004C597B" w:rsidP="00DA7215">
      <w:pPr>
        <w:pStyle w:val="Pardeliste"/>
        <w:numPr>
          <w:ilvl w:val="0"/>
          <w:numId w:val="5"/>
        </w:numPr>
        <w:autoSpaceDE w:val="0"/>
        <w:autoSpaceDN w:val="0"/>
        <w:adjustRightInd w:val="0"/>
        <w:rPr>
          <w:bCs/>
          <w:sz w:val="24"/>
          <w:szCs w:val="24"/>
        </w:rPr>
      </w:pPr>
      <w:r w:rsidRPr="009E0EFA">
        <w:rPr>
          <w:bCs/>
          <w:sz w:val="24"/>
          <w:szCs w:val="24"/>
        </w:rPr>
        <w:t>LES PRINCIPAUX POLES D’ECHANGE</w:t>
      </w:r>
    </w:p>
    <w:p w14:paraId="75A83B8E" w14:textId="77777777" w:rsidR="00DA7215" w:rsidRPr="009E0EFA" w:rsidRDefault="004C597B" w:rsidP="00DA7215">
      <w:pPr>
        <w:pStyle w:val="Pardeliste"/>
        <w:numPr>
          <w:ilvl w:val="0"/>
          <w:numId w:val="5"/>
        </w:numPr>
        <w:autoSpaceDE w:val="0"/>
        <w:autoSpaceDN w:val="0"/>
        <w:adjustRightInd w:val="0"/>
        <w:rPr>
          <w:rFonts w:cstheme="minorBidi"/>
          <w:bCs/>
          <w:sz w:val="24"/>
          <w:szCs w:val="24"/>
        </w:rPr>
      </w:pPr>
      <w:r w:rsidRPr="009E0EFA">
        <w:rPr>
          <w:bCs/>
          <w:sz w:val="24"/>
          <w:szCs w:val="24"/>
        </w:rPr>
        <w:t>LES FIRMES MULTINATIONALES</w:t>
      </w:r>
    </w:p>
    <w:p w14:paraId="5201A661" w14:textId="77777777" w:rsidR="00DA7215" w:rsidRPr="009E0EFA" w:rsidRDefault="00DA7215" w:rsidP="00DA7215">
      <w:pPr>
        <w:pStyle w:val="Pardeliste"/>
        <w:autoSpaceDE w:val="0"/>
        <w:autoSpaceDN w:val="0"/>
        <w:adjustRightInd w:val="0"/>
        <w:rPr>
          <w:rFonts w:cstheme="minorBidi"/>
          <w:bCs/>
          <w:sz w:val="24"/>
          <w:szCs w:val="24"/>
        </w:rPr>
      </w:pPr>
    </w:p>
    <w:p w14:paraId="2458B161" w14:textId="77777777" w:rsidR="00D174F1" w:rsidRPr="009E0EFA" w:rsidRDefault="00D174F1" w:rsidP="00D174F1">
      <w:pPr>
        <w:pStyle w:val="Pardeliste"/>
        <w:numPr>
          <w:ilvl w:val="0"/>
          <w:numId w:val="1"/>
        </w:numPr>
        <w:spacing w:after="0"/>
        <w:jc w:val="both"/>
        <w:outlineLvl w:val="0"/>
        <w:rPr>
          <w:rFonts w:cs="Calibri"/>
          <w:b/>
          <w:color w:val="FF0000"/>
          <w:sz w:val="24"/>
          <w:szCs w:val="24"/>
        </w:rPr>
      </w:pPr>
      <w:r w:rsidRPr="009E0EFA">
        <w:rPr>
          <w:rFonts w:cs="Calibri"/>
          <w:b/>
          <w:color w:val="FF0000"/>
          <w:sz w:val="24"/>
          <w:szCs w:val="24"/>
        </w:rPr>
        <w:t xml:space="preserve"> Comment mesurer les échanges internationaux ?</w:t>
      </w:r>
    </w:p>
    <w:p w14:paraId="79999D6B" w14:textId="46D8F0D5" w:rsidR="00D174F1" w:rsidRPr="009E0EFA" w:rsidRDefault="00D174F1" w:rsidP="00D174F1">
      <w:pPr>
        <w:pStyle w:val="Pardeliste"/>
        <w:numPr>
          <w:ilvl w:val="0"/>
          <w:numId w:val="2"/>
        </w:numPr>
        <w:spacing w:after="0"/>
        <w:jc w:val="both"/>
        <w:outlineLvl w:val="1"/>
        <w:rPr>
          <w:rFonts w:cs="Calibri"/>
          <w:b/>
          <w:color w:val="00B050"/>
          <w:sz w:val="24"/>
          <w:szCs w:val="24"/>
        </w:rPr>
      </w:pPr>
      <w:r w:rsidRPr="009E0EFA">
        <w:rPr>
          <w:rFonts w:cs="Calibri"/>
          <w:b/>
          <w:color w:val="00B050"/>
          <w:sz w:val="24"/>
          <w:szCs w:val="24"/>
        </w:rPr>
        <w:t xml:space="preserve"> La mesure des échanges internationaux</w:t>
      </w:r>
    </w:p>
    <w:p w14:paraId="0B9BF3F3" w14:textId="36E51514" w:rsidR="009E0EFA" w:rsidRPr="009E0EFA" w:rsidRDefault="009E0EFA" w:rsidP="009E0EFA">
      <w:pPr>
        <w:spacing w:after="0"/>
        <w:jc w:val="both"/>
        <w:outlineLvl w:val="1"/>
        <w:rPr>
          <w:rFonts w:cs="Calibri"/>
          <w:bCs/>
          <w:sz w:val="24"/>
          <w:szCs w:val="24"/>
        </w:rPr>
      </w:pPr>
      <w:r w:rsidRPr="009E0EFA">
        <w:rPr>
          <w:rFonts w:cs="Calibri"/>
          <w:b/>
          <w:sz w:val="24"/>
          <w:szCs w:val="24"/>
        </w:rPr>
        <w:t xml:space="preserve">Etude du document 1 et de la vidéo : </w:t>
      </w:r>
      <w:hyperlink r:id="rId7" w:history="1">
        <w:r w:rsidRPr="009E0EFA">
          <w:rPr>
            <w:rStyle w:val="Lienhypertexte"/>
            <w:rFonts w:cs="Calibri"/>
            <w:bCs/>
            <w:sz w:val="24"/>
            <w:szCs w:val="24"/>
          </w:rPr>
          <w:t>https://www.youtube.com/watch?v=9xD4G55MERQ</w:t>
        </w:r>
      </w:hyperlink>
      <w:r>
        <w:rPr>
          <w:rFonts w:cs="Calibri"/>
          <w:b/>
          <w:sz w:val="24"/>
          <w:szCs w:val="24"/>
        </w:rPr>
        <w:t xml:space="preserve"> </w:t>
      </w:r>
    </w:p>
    <w:p w14:paraId="15390124" w14:textId="77777777" w:rsidR="00D174F1" w:rsidRPr="009E0EFA" w:rsidRDefault="00D174F1" w:rsidP="005F3242">
      <w:pPr>
        <w:pStyle w:val="Pardeliste"/>
        <w:spacing w:before="240" w:after="0"/>
        <w:ind w:left="0"/>
        <w:jc w:val="both"/>
        <w:rPr>
          <w:rFonts w:cs="Calibri"/>
          <w:sz w:val="24"/>
          <w:szCs w:val="24"/>
        </w:rPr>
      </w:pPr>
      <w:r w:rsidRPr="009E0EFA">
        <w:rPr>
          <w:rFonts w:cs="Calibri"/>
          <w:bCs/>
          <w:sz w:val="24"/>
          <w:szCs w:val="24"/>
        </w:rPr>
        <w:t>Les échanges internationaux</w:t>
      </w:r>
      <w:r w:rsidRPr="009E0EFA">
        <w:rPr>
          <w:rFonts w:cs="Calibri"/>
          <w:sz w:val="24"/>
          <w:szCs w:val="24"/>
        </w:rPr>
        <w:t xml:space="preserve"> </w:t>
      </w:r>
      <w:r w:rsidR="002C6188" w:rsidRPr="009E0EFA">
        <w:rPr>
          <w:rFonts w:cs="Calibri"/>
          <w:sz w:val="24"/>
          <w:szCs w:val="24"/>
        </w:rPr>
        <w:t>se</w:t>
      </w:r>
      <w:r w:rsidRPr="009E0EFA">
        <w:rPr>
          <w:rFonts w:cs="Calibri"/>
          <w:sz w:val="24"/>
          <w:szCs w:val="24"/>
        </w:rPr>
        <w:t xml:space="preserve"> mesure</w:t>
      </w:r>
      <w:r w:rsidR="002C6188" w:rsidRPr="009E0EFA">
        <w:rPr>
          <w:rFonts w:cs="Calibri"/>
          <w:sz w:val="24"/>
          <w:szCs w:val="24"/>
        </w:rPr>
        <w:t>nt</w:t>
      </w:r>
      <w:r w:rsidRPr="009E0EFA">
        <w:rPr>
          <w:rFonts w:cs="Calibri"/>
          <w:sz w:val="24"/>
          <w:szCs w:val="24"/>
        </w:rPr>
        <w:t xml:space="preserve"> grâce à plusieurs indicateurs : </w:t>
      </w:r>
    </w:p>
    <w:p w14:paraId="46ED91E0" w14:textId="69DB1E87" w:rsidR="00D174F1" w:rsidRPr="009E0EFA" w:rsidRDefault="00D174F1" w:rsidP="005F3242">
      <w:pPr>
        <w:pStyle w:val="Pardeliste"/>
        <w:spacing w:before="240" w:after="0"/>
        <w:ind w:left="0"/>
        <w:jc w:val="both"/>
        <w:rPr>
          <w:rFonts w:cs="Calibri"/>
          <w:sz w:val="24"/>
          <w:szCs w:val="24"/>
        </w:rPr>
      </w:pPr>
      <w:r w:rsidRPr="009E0EFA">
        <w:rPr>
          <w:rFonts w:cs="Calibri"/>
          <w:sz w:val="24"/>
          <w:szCs w:val="24"/>
        </w:rPr>
        <w:t>-</w:t>
      </w:r>
      <w:r w:rsidR="00881CBC" w:rsidRPr="009E0EFA">
        <w:rPr>
          <w:rFonts w:cs="Calibri"/>
          <w:sz w:val="24"/>
          <w:szCs w:val="24"/>
        </w:rPr>
        <w:t xml:space="preserve"> </w:t>
      </w:r>
      <w:r w:rsidR="00813782" w:rsidRPr="009E0EFA">
        <w:rPr>
          <w:sz w:val="24"/>
          <w:szCs w:val="24"/>
        </w:rPr>
        <w:t xml:space="preserve">La </w:t>
      </w:r>
      <w:r w:rsidR="00813782" w:rsidRPr="009E0EFA">
        <w:rPr>
          <w:b/>
          <w:bCs/>
          <w:sz w:val="24"/>
          <w:szCs w:val="24"/>
        </w:rPr>
        <w:t>balance commerciale</w:t>
      </w:r>
      <w:r w:rsidR="00813782" w:rsidRPr="009E0EFA">
        <w:rPr>
          <w:sz w:val="24"/>
          <w:szCs w:val="24"/>
        </w:rPr>
        <w:t xml:space="preserve"> est le compte qui retrace la valeur des </w:t>
      </w:r>
      <w:hyperlink r:id="rId8" w:history="1">
        <w:r w:rsidR="00813782" w:rsidRPr="009E0EFA">
          <w:rPr>
            <w:rStyle w:val="Lienhypertexte"/>
            <w:color w:val="auto"/>
            <w:sz w:val="24"/>
            <w:szCs w:val="24"/>
            <w:u w:val="none"/>
          </w:rPr>
          <w:t>biens</w:t>
        </w:r>
      </w:hyperlink>
      <w:r w:rsidR="00813782" w:rsidRPr="009E0EFA">
        <w:rPr>
          <w:sz w:val="24"/>
          <w:szCs w:val="24"/>
        </w:rPr>
        <w:t xml:space="preserve"> exportés et la valeur des biens importés. </w:t>
      </w:r>
      <w:r w:rsidR="00CB26AC" w:rsidRPr="009E0EFA">
        <w:rPr>
          <w:sz w:val="24"/>
          <w:szCs w:val="24"/>
        </w:rPr>
        <w:t>En 201</w:t>
      </w:r>
      <w:r w:rsidR="004B49F3" w:rsidRPr="009E0EFA">
        <w:rPr>
          <w:sz w:val="24"/>
          <w:szCs w:val="24"/>
        </w:rPr>
        <w:t>9</w:t>
      </w:r>
      <w:r w:rsidR="00CB26AC" w:rsidRPr="009E0EFA">
        <w:rPr>
          <w:sz w:val="24"/>
          <w:szCs w:val="24"/>
        </w:rPr>
        <w:t xml:space="preserve">, </w:t>
      </w:r>
      <w:r w:rsidR="004B49F3" w:rsidRPr="009E0EFA">
        <w:rPr>
          <w:sz w:val="24"/>
          <w:szCs w:val="24"/>
        </w:rPr>
        <w:t>le déficit commercial s’est légèrement réduit, pour atteindre 58,9 milliards d’euros, contre 63 milliards en 2018, selon les chiffres des douanes</w:t>
      </w:r>
      <w:r w:rsidR="006F01BF" w:rsidRPr="009E0EFA">
        <w:rPr>
          <w:sz w:val="24"/>
          <w:szCs w:val="24"/>
        </w:rPr>
        <w:t xml:space="preserve">, cela s’explique par la </w:t>
      </w:r>
      <w:r w:rsidR="004B49F3" w:rsidRPr="009E0EFA">
        <w:rPr>
          <w:sz w:val="24"/>
          <w:szCs w:val="24"/>
        </w:rPr>
        <w:t>hausse des exportations et la baisse du prix du pétrole.</w:t>
      </w:r>
      <w:r w:rsidR="006F01BF" w:rsidRPr="009E0EFA">
        <w:rPr>
          <w:sz w:val="24"/>
          <w:szCs w:val="24"/>
        </w:rPr>
        <w:t xml:space="preserve"> </w:t>
      </w:r>
    </w:p>
    <w:p w14:paraId="23022960" w14:textId="77777777" w:rsidR="00881CBC" w:rsidRPr="009E0EFA" w:rsidRDefault="00D174F1" w:rsidP="005F3242">
      <w:pPr>
        <w:pStyle w:val="Pardeliste"/>
        <w:spacing w:before="240"/>
        <w:ind w:left="0"/>
        <w:jc w:val="both"/>
        <w:rPr>
          <w:rFonts w:cs="Calibri"/>
          <w:sz w:val="24"/>
          <w:szCs w:val="24"/>
        </w:rPr>
      </w:pPr>
      <w:r w:rsidRPr="009E0EFA">
        <w:rPr>
          <w:rFonts w:cs="Calibri"/>
          <w:sz w:val="24"/>
          <w:szCs w:val="24"/>
        </w:rPr>
        <w:t xml:space="preserve">- la </w:t>
      </w:r>
      <w:r w:rsidRPr="009E0EFA">
        <w:rPr>
          <w:rFonts w:cs="Calibri"/>
          <w:b/>
          <w:bCs/>
          <w:sz w:val="24"/>
          <w:szCs w:val="24"/>
        </w:rPr>
        <w:t>balance des transactions courantes</w:t>
      </w:r>
      <w:r w:rsidR="00562921" w:rsidRPr="009E0EFA">
        <w:rPr>
          <w:rFonts w:cs="Calibri"/>
          <w:sz w:val="24"/>
          <w:szCs w:val="24"/>
        </w:rPr>
        <w:t> </w:t>
      </w:r>
      <w:r w:rsidR="00A9296F" w:rsidRPr="009E0EFA">
        <w:rPr>
          <w:rFonts w:cs="Calibri"/>
          <w:sz w:val="24"/>
          <w:szCs w:val="24"/>
        </w:rPr>
        <w:t xml:space="preserve">qui prend en compte </w:t>
      </w:r>
      <w:r w:rsidR="00562921" w:rsidRPr="009E0EFA">
        <w:rPr>
          <w:rStyle w:val="lev"/>
          <w:b w:val="0"/>
          <w:bCs w:val="0"/>
          <w:sz w:val="24"/>
          <w:szCs w:val="24"/>
        </w:rPr>
        <w:t>les échanges de biens (exportations de biens et importations de biens), les échanges de services (exportations de services et importations de services), les « échanges » de revenus (revenus des résidents tirés de l’étranger et revenus des étrangers tirés du pays) et les transferts courants (comme les aides pour le développement, par exemple).</w:t>
      </w:r>
      <w:r w:rsidR="00562921" w:rsidRPr="009E0EFA">
        <w:rPr>
          <w:rStyle w:val="lev"/>
          <w:sz w:val="24"/>
          <w:szCs w:val="24"/>
        </w:rPr>
        <w:t xml:space="preserve"> </w:t>
      </w:r>
      <w:r w:rsidRPr="009E0EFA">
        <w:rPr>
          <w:rFonts w:cs="Calibri"/>
          <w:sz w:val="24"/>
          <w:szCs w:val="24"/>
        </w:rPr>
        <w:t>Elle est é</w:t>
      </w:r>
      <w:r w:rsidR="00881CBC" w:rsidRPr="009E0EFA">
        <w:rPr>
          <w:rFonts w:cs="Calibri"/>
          <w:sz w:val="24"/>
          <w:szCs w:val="24"/>
        </w:rPr>
        <w:t xml:space="preserve">galement déficitaire en France, </w:t>
      </w:r>
      <w:r w:rsidRPr="009E0EFA">
        <w:rPr>
          <w:rFonts w:cs="Calibri"/>
          <w:sz w:val="24"/>
          <w:szCs w:val="24"/>
        </w:rPr>
        <w:t>ce qui signifie que la France dépense plus à l’étranger qu’elle ne gagne avec l’étranger.</w:t>
      </w:r>
      <w:r w:rsidR="00CB26AC" w:rsidRPr="009E0EFA">
        <w:rPr>
          <w:rFonts w:cs="Calibri"/>
          <w:sz w:val="24"/>
          <w:szCs w:val="24"/>
        </w:rPr>
        <w:t xml:space="preserve"> </w:t>
      </w:r>
      <w:r w:rsidR="00CB26AC" w:rsidRPr="009E0EFA">
        <w:rPr>
          <w:sz w:val="24"/>
          <w:szCs w:val="24"/>
        </w:rPr>
        <w:t>En 2017 le solde se réduit cependant, à – 13,1 milliards d’euros contre – 16,8 milliards en 2016.</w:t>
      </w:r>
    </w:p>
    <w:p w14:paraId="24FA0A0A" w14:textId="77777777" w:rsidR="00881CBC" w:rsidRPr="009E0EFA" w:rsidRDefault="00881CBC" w:rsidP="005F3242">
      <w:pPr>
        <w:pStyle w:val="Pardeliste"/>
        <w:spacing w:before="240"/>
        <w:ind w:left="0"/>
        <w:jc w:val="both"/>
        <w:rPr>
          <w:rFonts w:asciiTheme="minorHAnsi" w:eastAsia="Times New Roman" w:hAnsiTheme="minorHAnsi"/>
          <w:sz w:val="24"/>
          <w:szCs w:val="24"/>
        </w:rPr>
      </w:pPr>
      <w:r w:rsidRPr="009E0EFA">
        <w:rPr>
          <w:rFonts w:cs="Calibri"/>
          <w:sz w:val="24"/>
          <w:szCs w:val="24"/>
        </w:rPr>
        <w:t xml:space="preserve">- </w:t>
      </w:r>
      <w:r w:rsidRPr="009E0EFA">
        <w:rPr>
          <w:sz w:val="24"/>
          <w:szCs w:val="24"/>
        </w:rPr>
        <w:t xml:space="preserve">Le </w:t>
      </w:r>
      <w:r w:rsidRPr="009E0EFA">
        <w:rPr>
          <w:b/>
          <w:sz w:val="24"/>
          <w:szCs w:val="24"/>
        </w:rPr>
        <w:t>rapport Commerce/PIB</w:t>
      </w:r>
      <w:r w:rsidRPr="009E0EFA">
        <w:rPr>
          <w:sz w:val="24"/>
          <w:szCs w:val="24"/>
        </w:rPr>
        <w:t xml:space="preserve"> </w:t>
      </w:r>
      <w:r w:rsidR="00A9296F" w:rsidRPr="009E0EFA">
        <w:rPr>
          <w:sz w:val="24"/>
          <w:szCs w:val="24"/>
        </w:rPr>
        <w:t>est</w:t>
      </w:r>
      <w:r w:rsidRPr="009E0EFA">
        <w:rPr>
          <w:sz w:val="24"/>
          <w:szCs w:val="24"/>
        </w:rPr>
        <w:t xml:space="preserve"> un indicateur pertinent de mesure de l’ouverture de l’économie d’un pays vis-à-vis du reste du monde. Plus ce rapport est élevé, plus l’économie est ouverte sur l’extérieur, c’est à dire qu’elle échange avec les autres </w:t>
      </w:r>
      <w:r w:rsidRPr="009E0EFA">
        <w:rPr>
          <w:rFonts w:asciiTheme="minorHAnsi" w:hAnsiTheme="minorHAnsi"/>
          <w:sz w:val="24"/>
          <w:szCs w:val="24"/>
        </w:rPr>
        <w:t xml:space="preserve">pays, que ce soit par le biais des exportations et/ou des importations. </w:t>
      </w:r>
    </w:p>
    <w:p w14:paraId="275FE405" w14:textId="77777777" w:rsidR="00D174F1" w:rsidRPr="009E0EFA" w:rsidRDefault="00D174F1" w:rsidP="00D174F1">
      <w:pPr>
        <w:pStyle w:val="Pardeliste"/>
        <w:ind w:left="0"/>
        <w:jc w:val="both"/>
        <w:rPr>
          <w:rFonts w:cs="Calibri"/>
          <w:sz w:val="24"/>
          <w:szCs w:val="24"/>
        </w:rPr>
      </w:pPr>
    </w:p>
    <w:p w14:paraId="24BB6B1C" w14:textId="0D66668D" w:rsidR="00D174F1" w:rsidRDefault="00A9296F" w:rsidP="00CB26AC">
      <w:pPr>
        <w:pStyle w:val="Pardeliste"/>
        <w:numPr>
          <w:ilvl w:val="0"/>
          <w:numId w:val="2"/>
        </w:numPr>
        <w:spacing w:before="240"/>
        <w:jc w:val="both"/>
        <w:rPr>
          <w:rFonts w:cs="Calibri"/>
          <w:b/>
          <w:color w:val="00B050"/>
          <w:sz w:val="24"/>
          <w:szCs w:val="24"/>
        </w:rPr>
      </w:pPr>
      <w:r w:rsidRPr="009E0EFA">
        <w:rPr>
          <w:rFonts w:cs="Calibri"/>
          <w:b/>
          <w:color w:val="00B050"/>
          <w:sz w:val="24"/>
          <w:szCs w:val="24"/>
        </w:rPr>
        <w:t xml:space="preserve"> Le commerce e</w:t>
      </w:r>
      <w:r w:rsidR="00D174F1" w:rsidRPr="009E0EFA">
        <w:rPr>
          <w:rFonts w:cs="Calibri"/>
          <w:b/>
          <w:color w:val="00B050"/>
          <w:sz w:val="24"/>
          <w:szCs w:val="24"/>
        </w:rPr>
        <w:t xml:space="preserve">xtérieur français </w:t>
      </w:r>
    </w:p>
    <w:p w14:paraId="2C78F13C" w14:textId="76265448" w:rsidR="009E0EFA" w:rsidRPr="009E0EFA" w:rsidRDefault="009E0EFA" w:rsidP="009E0EFA">
      <w:pPr>
        <w:spacing w:before="240"/>
        <w:jc w:val="both"/>
        <w:rPr>
          <w:rFonts w:cs="Calibri"/>
          <w:b/>
          <w:sz w:val="24"/>
          <w:szCs w:val="24"/>
        </w:rPr>
      </w:pPr>
      <w:r w:rsidRPr="009E0EFA">
        <w:rPr>
          <w:rFonts w:cs="Calibri"/>
          <w:b/>
          <w:sz w:val="24"/>
          <w:szCs w:val="24"/>
        </w:rPr>
        <w:t>Etude des documents 2, 3 et 4 de la fiche élève</w:t>
      </w:r>
    </w:p>
    <w:p w14:paraId="4508DC1A" w14:textId="77777777" w:rsidR="00A9296F" w:rsidRPr="009E0EFA" w:rsidRDefault="00D174F1" w:rsidP="00CB26AC">
      <w:pPr>
        <w:pStyle w:val="Pardeliste"/>
        <w:spacing w:before="240"/>
        <w:ind w:left="0"/>
        <w:jc w:val="both"/>
        <w:rPr>
          <w:rFonts w:cs="Calibri"/>
          <w:sz w:val="24"/>
          <w:szCs w:val="24"/>
        </w:rPr>
      </w:pPr>
      <w:r w:rsidRPr="009E0EFA">
        <w:rPr>
          <w:rFonts w:cs="Calibri"/>
          <w:sz w:val="24"/>
          <w:szCs w:val="24"/>
        </w:rPr>
        <w:t>La situation de la France en termes d'échanges avec le reste du monde est déficitaire.</w:t>
      </w:r>
      <w:r w:rsidR="005F3242" w:rsidRPr="009E0EFA">
        <w:rPr>
          <w:rFonts w:cs="Calibri"/>
          <w:sz w:val="24"/>
          <w:szCs w:val="24"/>
        </w:rPr>
        <w:t xml:space="preserve"> En effet dans les années 2000, les importations ont dépassé le montant des exportations</w:t>
      </w:r>
      <w:r w:rsidR="00EE5C1E" w:rsidRPr="009E0EFA">
        <w:rPr>
          <w:rFonts w:cs="Calibri"/>
          <w:sz w:val="24"/>
          <w:szCs w:val="24"/>
        </w:rPr>
        <w:t>.</w:t>
      </w:r>
      <w:r w:rsidRPr="009E0EFA">
        <w:rPr>
          <w:rFonts w:cs="Calibri"/>
          <w:sz w:val="24"/>
          <w:szCs w:val="24"/>
        </w:rPr>
        <w:t xml:space="preserve"> Toutefois, elle est compétitive dans certains secteurs :</w:t>
      </w:r>
      <w:r w:rsidR="00A9296F" w:rsidRPr="009E0EFA">
        <w:rPr>
          <w:rFonts w:cs="Calibri"/>
          <w:sz w:val="24"/>
          <w:szCs w:val="24"/>
        </w:rPr>
        <w:t xml:space="preserve"> l'aéronautique, les parfums, </w:t>
      </w:r>
      <w:r w:rsidRPr="009E0EFA">
        <w:rPr>
          <w:rFonts w:cs="Calibri"/>
          <w:sz w:val="24"/>
          <w:szCs w:val="24"/>
        </w:rPr>
        <w:t>cosmétiques</w:t>
      </w:r>
      <w:r w:rsidR="00A9296F" w:rsidRPr="009E0EFA">
        <w:rPr>
          <w:rFonts w:cs="Calibri"/>
          <w:sz w:val="24"/>
          <w:szCs w:val="24"/>
        </w:rPr>
        <w:t xml:space="preserve"> et produits de luxe</w:t>
      </w:r>
      <w:r w:rsidRPr="009E0EFA">
        <w:rPr>
          <w:rFonts w:cs="Calibri"/>
          <w:sz w:val="24"/>
          <w:szCs w:val="24"/>
        </w:rPr>
        <w:t xml:space="preserve"> </w:t>
      </w:r>
      <w:r w:rsidR="00A9296F" w:rsidRPr="009E0EFA">
        <w:rPr>
          <w:rFonts w:cs="Calibri"/>
          <w:sz w:val="24"/>
          <w:szCs w:val="24"/>
        </w:rPr>
        <w:t>ainsi que</w:t>
      </w:r>
      <w:r w:rsidRPr="009E0EFA">
        <w:rPr>
          <w:rFonts w:cs="Calibri"/>
          <w:sz w:val="24"/>
          <w:szCs w:val="24"/>
        </w:rPr>
        <w:t xml:space="preserve"> l'agr</w:t>
      </w:r>
      <w:r w:rsidR="005F3242" w:rsidRPr="009E0EFA">
        <w:rPr>
          <w:rFonts w:cs="Calibri"/>
          <w:sz w:val="24"/>
          <w:szCs w:val="24"/>
        </w:rPr>
        <w:t>oalimentaire et produits pharmaceutiques</w:t>
      </w:r>
      <w:r w:rsidRPr="009E0EFA">
        <w:rPr>
          <w:rFonts w:cs="Calibri"/>
          <w:sz w:val="24"/>
          <w:szCs w:val="24"/>
        </w:rPr>
        <w:t xml:space="preserve">. </w:t>
      </w:r>
    </w:p>
    <w:p w14:paraId="7FF09D7E" w14:textId="77777777" w:rsidR="00D174F1" w:rsidRPr="009E0EFA" w:rsidRDefault="00D174F1" w:rsidP="00A9296F">
      <w:pPr>
        <w:pStyle w:val="Pardeliste"/>
        <w:ind w:left="0"/>
        <w:jc w:val="both"/>
        <w:rPr>
          <w:rFonts w:cs="Calibri"/>
          <w:sz w:val="24"/>
          <w:szCs w:val="24"/>
        </w:rPr>
      </w:pPr>
      <w:r w:rsidRPr="009E0EFA">
        <w:rPr>
          <w:rFonts w:cs="Calibri"/>
          <w:sz w:val="24"/>
          <w:szCs w:val="24"/>
        </w:rPr>
        <w:t xml:space="preserve">Elle connaît des faiblesses en matière de produits énergétiques qu'elle importe puisqu'elle ne les produit pas.  </w:t>
      </w:r>
      <w:r w:rsidR="00A9296F" w:rsidRPr="009E0EFA">
        <w:rPr>
          <w:rFonts w:cs="Calibri"/>
          <w:sz w:val="24"/>
          <w:szCs w:val="24"/>
        </w:rPr>
        <w:t xml:space="preserve">Cependant cette faiblesse a été atténuée ces derniers temps par la baisse du coût du pétrole. </w:t>
      </w:r>
      <w:r w:rsidRPr="009E0EFA">
        <w:rPr>
          <w:rFonts w:cs="Calibri"/>
          <w:sz w:val="24"/>
          <w:szCs w:val="24"/>
        </w:rPr>
        <w:t xml:space="preserve">Elle reste cependant un acteur majeur du commerce mondial. </w:t>
      </w:r>
    </w:p>
    <w:p w14:paraId="4CD6F8FD" w14:textId="77777777" w:rsidR="005F3242" w:rsidRPr="009E0EFA" w:rsidRDefault="00D174F1" w:rsidP="005F3242">
      <w:pPr>
        <w:pStyle w:val="Pardeliste"/>
        <w:ind w:left="0"/>
        <w:jc w:val="both"/>
        <w:rPr>
          <w:rFonts w:cs="Calibri"/>
          <w:sz w:val="24"/>
          <w:szCs w:val="24"/>
        </w:rPr>
      </w:pPr>
      <w:r w:rsidRPr="009E0EFA">
        <w:rPr>
          <w:rFonts w:cs="Calibri"/>
          <w:sz w:val="24"/>
          <w:szCs w:val="24"/>
        </w:rPr>
        <w:t>Ses principaux partenaires sont les États membres de l’Union européenne, tant au niveau de ses exportations que de ses importations. Ils représentent en effet 60 % de ses échanges de biens et services</w:t>
      </w:r>
      <w:r w:rsidR="00F66F5F" w:rsidRPr="009E0EFA">
        <w:rPr>
          <w:rFonts w:cs="Calibri"/>
          <w:sz w:val="24"/>
          <w:szCs w:val="24"/>
        </w:rPr>
        <w:t>.</w:t>
      </w:r>
    </w:p>
    <w:p w14:paraId="1608B676" w14:textId="77777777" w:rsidR="006F01BF" w:rsidRPr="009E0EFA" w:rsidRDefault="006F01BF" w:rsidP="005F3242">
      <w:pPr>
        <w:pStyle w:val="Pardeliste"/>
        <w:ind w:left="0"/>
        <w:jc w:val="both"/>
        <w:rPr>
          <w:rFonts w:cs="Calibri"/>
          <w:sz w:val="24"/>
          <w:szCs w:val="24"/>
        </w:rPr>
      </w:pPr>
    </w:p>
    <w:p w14:paraId="674C8C54" w14:textId="377C3928" w:rsidR="00D174F1" w:rsidRDefault="00D174F1" w:rsidP="00EE5C1E">
      <w:pPr>
        <w:pStyle w:val="Pardeliste"/>
        <w:numPr>
          <w:ilvl w:val="0"/>
          <w:numId w:val="1"/>
        </w:numPr>
        <w:jc w:val="both"/>
        <w:outlineLvl w:val="0"/>
        <w:rPr>
          <w:rFonts w:cs="Calibri"/>
          <w:b/>
          <w:color w:val="FF0000"/>
          <w:sz w:val="24"/>
          <w:szCs w:val="24"/>
        </w:rPr>
      </w:pPr>
      <w:r w:rsidRPr="009E0EFA">
        <w:rPr>
          <w:rFonts w:cs="Calibri"/>
          <w:b/>
          <w:color w:val="FF0000"/>
          <w:sz w:val="24"/>
          <w:szCs w:val="24"/>
        </w:rPr>
        <w:lastRenderedPageBreak/>
        <w:t xml:space="preserve"> Quels sont les principaux pôles d’échanges dans le monde ?</w:t>
      </w:r>
    </w:p>
    <w:p w14:paraId="33A975B2" w14:textId="1CA23961" w:rsidR="009E0EFA" w:rsidRPr="009E0EFA" w:rsidRDefault="009E0EFA" w:rsidP="009E0EFA">
      <w:pPr>
        <w:jc w:val="both"/>
        <w:outlineLvl w:val="0"/>
        <w:rPr>
          <w:rFonts w:cs="Calibri"/>
          <w:b/>
          <w:sz w:val="24"/>
          <w:szCs w:val="24"/>
        </w:rPr>
      </w:pPr>
      <w:r w:rsidRPr="009E0EFA">
        <w:rPr>
          <w:rFonts w:cs="Calibri"/>
          <w:b/>
          <w:sz w:val="24"/>
          <w:szCs w:val="24"/>
        </w:rPr>
        <w:t>Etude des documents 5 à 8 de la fiche élève</w:t>
      </w:r>
    </w:p>
    <w:p w14:paraId="7EB06CF2" w14:textId="77777777" w:rsidR="00D174F1" w:rsidRPr="009E0EFA" w:rsidRDefault="00D174F1" w:rsidP="004C597B">
      <w:pPr>
        <w:pStyle w:val="Pardeliste"/>
        <w:ind w:left="0"/>
        <w:jc w:val="both"/>
        <w:rPr>
          <w:rFonts w:cs="Calibri"/>
          <w:sz w:val="24"/>
          <w:szCs w:val="24"/>
        </w:rPr>
      </w:pPr>
      <w:r w:rsidRPr="009E0EFA">
        <w:rPr>
          <w:rFonts w:cs="Calibri"/>
          <w:sz w:val="24"/>
          <w:szCs w:val="24"/>
        </w:rPr>
        <w:t xml:space="preserve">Les pays développés concentrent encore </w:t>
      </w:r>
      <w:r w:rsidR="005F3242" w:rsidRPr="009E0EFA">
        <w:rPr>
          <w:rFonts w:cs="Calibri"/>
          <w:sz w:val="24"/>
          <w:szCs w:val="24"/>
        </w:rPr>
        <w:t xml:space="preserve">aujourd’hui </w:t>
      </w:r>
      <w:r w:rsidRPr="009E0EFA">
        <w:rPr>
          <w:rFonts w:cs="Calibri"/>
          <w:sz w:val="24"/>
          <w:szCs w:val="24"/>
        </w:rPr>
        <w:t xml:space="preserve">l’essentiel des échanges : les échanges </w:t>
      </w:r>
      <w:proofErr w:type="spellStart"/>
      <w:r w:rsidRPr="009E0EFA">
        <w:rPr>
          <w:rFonts w:cs="Calibri"/>
          <w:sz w:val="24"/>
          <w:szCs w:val="24"/>
        </w:rPr>
        <w:t>intrazones</w:t>
      </w:r>
      <w:proofErr w:type="spellEnd"/>
      <w:r w:rsidRPr="009E0EFA">
        <w:rPr>
          <w:rFonts w:cs="Calibri"/>
          <w:sz w:val="24"/>
          <w:szCs w:val="24"/>
        </w:rPr>
        <w:t xml:space="preserve"> sont très intenses (notamment dans l’Union européenne) mais également entre les pays développés.  On appelle d’ailleurs la Triade l'ensemble des trois régions qui dominent les échanges commerciaux au niveau mondial (l’Union européenne, les États-Unis / Canada, le Japon et l’Asie Pacifique) ; ils concentrent en effet</w:t>
      </w:r>
      <w:r w:rsidR="00A9296F" w:rsidRPr="009E0EFA">
        <w:rPr>
          <w:rFonts w:cs="Calibri"/>
          <w:sz w:val="24"/>
          <w:szCs w:val="24"/>
        </w:rPr>
        <w:t xml:space="preserve"> le tiers </w:t>
      </w:r>
      <w:r w:rsidRPr="009E0EFA">
        <w:rPr>
          <w:rFonts w:cs="Calibri"/>
          <w:sz w:val="24"/>
          <w:szCs w:val="24"/>
        </w:rPr>
        <w:t>des exportations de marchandises et la moitié des exportations de services.</w:t>
      </w:r>
    </w:p>
    <w:p w14:paraId="51507879" w14:textId="77777777" w:rsidR="005F3242" w:rsidRPr="009E0EFA" w:rsidRDefault="005F3242" w:rsidP="004C597B">
      <w:pPr>
        <w:pStyle w:val="Pardeliste"/>
        <w:ind w:left="0"/>
        <w:jc w:val="both"/>
        <w:rPr>
          <w:rFonts w:cs="Calibri"/>
          <w:sz w:val="24"/>
          <w:szCs w:val="24"/>
        </w:rPr>
      </w:pPr>
      <w:r w:rsidRPr="009E0EFA">
        <w:rPr>
          <w:rFonts w:cs="Calibri"/>
          <w:sz w:val="24"/>
          <w:szCs w:val="24"/>
        </w:rPr>
        <w:t xml:space="preserve">Cependant d’autres pays ont également su tirer leur épingle du jeu au niveau des échanges mondiaux : les pays du BRICS (Brésil, Russie, Inde, Chine et Afrique du Sud qui représentent aujourd’hui un quart du commerce mondial. </w:t>
      </w:r>
    </w:p>
    <w:p w14:paraId="172A9DD7" w14:textId="77777777" w:rsidR="004C597B" w:rsidRPr="009E0EFA" w:rsidRDefault="004C597B" w:rsidP="004C597B">
      <w:pPr>
        <w:pStyle w:val="Pardeliste"/>
        <w:ind w:left="0"/>
        <w:jc w:val="both"/>
        <w:rPr>
          <w:rFonts w:cs="Calibri"/>
          <w:sz w:val="24"/>
          <w:szCs w:val="24"/>
        </w:rPr>
      </w:pPr>
    </w:p>
    <w:p w14:paraId="58F5F973" w14:textId="167FF012" w:rsidR="00D174F1" w:rsidRDefault="00D174F1" w:rsidP="00D174F1">
      <w:pPr>
        <w:pStyle w:val="Pardeliste"/>
        <w:numPr>
          <w:ilvl w:val="0"/>
          <w:numId w:val="1"/>
        </w:numPr>
        <w:jc w:val="both"/>
        <w:rPr>
          <w:rFonts w:cs="Calibri"/>
          <w:b/>
          <w:color w:val="FF0000"/>
          <w:sz w:val="24"/>
          <w:szCs w:val="24"/>
        </w:rPr>
      </w:pPr>
      <w:r w:rsidRPr="009E0EFA">
        <w:rPr>
          <w:rFonts w:cs="Calibri"/>
          <w:b/>
          <w:color w:val="FF0000"/>
          <w:sz w:val="24"/>
          <w:szCs w:val="24"/>
        </w:rPr>
        <w:t xml:space="preserve"> Quel est le rôle des firmes multinationales dans les échanges internationaux ?</w:t>
      </w:r>
    </w:p>
    <w:p w14:paraId="45298DFF" w14:textId="3499F859" w:rsidR="009E0EFA" w:rsidRPr="009E0EFA" w:rsidRDefault="009E0EFA" w:rsidP="009E0EFA">
      <w:pPr>
        <w:jc w:val="both"/>
        <w:rPr>
          <w:rFonts w:cs="Calibri"/>
          <w:b/>
          <w:sz w:val="24"/>
          <w:szCs w:val="24"/>
        </w:rPr>
      </w:pPr>
      <w:r w:rsidRPr="009E0EFA">
        <w:rPr>
          <w:rFonts w:cs="Calibri"/>
          <w:b/>
          <w:sz w:val="24"/>
          <w:szCs w:val="24"/>
        </w:rPr>
        <w:t>Etude des documents 9, 10 et 11</w:t>
      </w:r>
    </w:p>
    <w:p w14:paraId="6F6FA164" w14:textId="77777777" w:rsidR="00F93ECD" w:rsidRPr="009E0EFA" w:rsidRDefault="004C597B" w:rsidP="00F93ECD">
      <w:pPr>
        <w:pStyle w:val="07ReponseLDP"/>
        <w:spacing w:line="276" w:lineRule="auto"/>
        <w:rPr>
          <w:rFonts w:asciiTheme="minorHAnsi" w:hAnsiTheme="minorHAnsi"/>
          <w:sz w:val="24"/>
          <w:szCs w:val="24"/>
        </w:rPr>
      </w:pPr>
      <w:r w:rsidRPr="009E0EFA">
        <w:rPr>
          <w:rFonts w:asciiTheme="minorHAnsi" w:eastAsiaTheme="minorEastAsia" w:hAnsiTheme="minorHAnsi" w:cstheme="minorBidi"/>
          <w:sz w:val="24"/>
          <w:szCs w:val="24"/>
          <w:lang w:eastAsia="zh-TW" w:bidi="he-IL"/>
        </w:rPr>
        <w:t xml:space="preserve">Une firme transnationale (FTN) est une entreprise de grande dimension, dont les capitaux sont multinationaux (la plupart du temps), dont le siège social est certes localisé dans un État, mais dont les nombreux établissements sont implantés partout dans le monde, ce qui lui permet de mener des stratégies globales, à l'échelle de la planète. </w:t>
      </w:r>
      <w:r w:rsidR="00F93ECD" w:rsidRPr="009E0EFA">
        <w:rPr>
          <w:rFonts w:asciiTheme="minorHAnsi" w:hAnsiTheme="minorHAnsi"/>
          <w:sz w:val="24"/>
          <w:szCs w:val="24"/>
        </w:rPr>
        <w:t>Une firme multinationale est</w:t>
      </w:r>
      <w:r w:rsidRPr="009E0EFA">
        <w:rPr>
          <w:rFonts w:asciiTheme="minorHAnsi" w:hAnsiTheme="minorHAnsi"/>
          <w:sz w:val="24"/>
          <w:szCs w:val="24"/>
        </w:rPr>
        <w:t xml:space="preserve"> donc</w:t>
      </w:r>
      <w:r w:rsidR="00F93ECD" w:rsidRPr="009E0EFA">
        <w:rPr>
          <w:rFonts w:asciiTheme="minorHAnsi" w:hAnsiTheme="minorHAnsi"/>
          <w:sz w:val="24"/>
          <w:szCs w:val="24"/>
        </w:rPr>
        <w:t xml:space="preserve"> constituée d’une maison mère et de filiales implantées à l’étranger. C’est une firme nationale qui contrôle ou possède au moins une filiale basée à l’étranger. </w:t>
      </w:r>
    </w:p>
    <w:p w14:paraId="288F79C2" w14:textId="77777777" w:rsidR="00F93ECD" w:rsidRPr="009E0EFA" w:rsidRDefault="00F93ECD" w:rsidP="005F3242">
      <w:pPr>
        <w:pStyle w:val="07ReponseLDP"/>
        <w:spacing w:line="276" w:lineRule="auto"/>
        <w:rPr>
          <w:rFonts w:asciiTheme="minorHAnsi" w:hAnsiTheme="minorHAnsi"/>
          <w:sz w:val="24"/>
          <w:szCs w:val="24"/>
        </w:rPr>
      </w:pPr>
      <w:r w:rsidRPr="009E0EFA">
        <w:rPr>
          <w:rFonts w:asciiTheme="minorHAnsi" w:hAnsiTheme="minorHAnsi"/>
          <w:sz w:val="24"/>
          <w:szCs w:val="24"/>
        </w:rPr>
        <w:t xml:space="preserve">L’organisation de la production des FMN se fait au niveau mondial. Sur la base d’une stratégie fondée sur l’existence des </w:t>
      </w:r>
      <w:r w:rsidR="005F3242" w:rsidRPr="009E0EFA">
        <w:rPr>
          <w:rFonts w:asciiTheme="minorHAnsi" w:hAnsiTheme="minorHAnsi"/>
          <w:sz w:val="24"/>
          <w:szCs w:val="24"/>
        </w:rPr>
        <w:t xml:space="preserve">inégalités </w:t>
      </w:r>
      <w:r w:rsidRPr="009E0EFA">
        <w:rPr>
          <w:rFonts w:asciiTheme="minorHAnsi" w:hAnsiTheme="minorHAnsi"/>
          <w:sz w:val="24"/>
          <w:szCs w:val="24"/>
        </w:rPr>
        <w:t>nationales, elles cherchent à diminuer les coûts de production (facteur travail, en particulier), à contrôler l’approvisionnement en matières premières et à pénétrer de nouveaux marchés.</w:t>
      </w:r>
    </w:p>
    <w:p w14:paraId="233EC7D8" w14:textId="77777777" w:rsidR="00D174F1" w:rsidRPr="009E0EFA" w:rsidRDefault="00D174F1" w:rsidP="00D174F1">
      <w:pPr>
        <w:pStyle w:val="Pardeliste"/>
        <w:ind w:left="0"/>
        <w:jc w:val="both"/>
        <w:rPr>
          <w:rFonts w:cs="Calibri"/>
          <w:sz w:val="24"/>
          <w:szCs w:val="24"/>
        </w:rPr>
      </w:pPr>
    </w:p>
    <w:p w14:paraId="3A855E12" w14:textId="77777777" w:rsidR="00F93ECD" w:rsidRPr="009E0EFA" w:rsidRDefault="00F93ECD" w:rsidP="00F93ECD">
      <w:pPr>
        <w:pStyle w:val="07ReponseLDP"/>
        <w:spacing w:line="276" w:lineRule="auto"/>
        <w:rPr>
          <w:rFonts w:asciiTheme="minorHAnsi" w:hAnsiTheme="minorHAnsi"/>
          <w:sz w:val="24"/>
          <w:szCs w:val="24"/>
        </w:rPr>
      </w:pPr>
      <w:r w:rsidRPr="009E0EFA">
        <w:rPr>
          <w:rFonts w:asciiTheme="minorHAnsi" w:hAnsiTheme="minorHAnsi"/>
          <w:sz w:val="24"/>
          <w:szCs w:val="24"/>
        </w:rPr>
        <w:t xml:space="preserve">Aujourd’hui, un tiers du commerce mondial de biens et services correspond à des échanges </w:t>
      </w:r>
      <w:proofErr w:type="spellStart"/>
      <w:r w:rsidRPr="009E0EFA">
        <w:rPr>
          <w:rFonts w:asciiTheme="minorHAnsi" w:hAnsiTheme="minorHAnsi"/>
          <w:sz w:val="24"/>
          <w:szCs w:val="24"/>
        </w:rPr>
        <w:t>intrafirmes</w:t>
      </w:r>
      <w:proofErr w:type="spellEnd"/>
      <w:r w:rsidRPr="009E0EFA">
        <w:rPr>
          <w:rFonts w:asciiTheme="minorHAnsi" w:hAnsiTheme="minorHAnsi"/>
          <w:sz w:val="24"/>
          <w:szCs w:val="24"/>
        </w:rPr>
        <w:t xml:space="preserve"> réalisés par des entreprises dépendant d’une même firme. Les échanges se font de filiale à filiale ou de société mère à filiale appartenant à un même groupe. </w:t>
      </w:r>
    </w:p>
    <w:p w14:paraId="29769FA6" w14:textId="77777777" w:rsidR="00F93ECD" w:rsidRPr="009E0EFA" w:rsidRDefault="00F93ECD" w:rsidP="00D174F1">
      <w:pPr>
        <w:pStyle w:val="Pardeliste"/>
        <w:ind w:left="0"/>
        <w:jc w:val="both"/>
        <w:rPr>
          <w:rFonts w:cs="Calibri"/>
          <w:sz w:val="24"/>
          <w:szCs w:val="24"/>
        </w:rPr>
      </w:pPr>
    </w:p>
    <w:p w14:paraId="46D7653E" w14:textId="77777777" w:rsidR="00D174F1" w:rsidRPr="009E0EFA" w:rsidRDefault="00D174F1" w:rsidP="00D174F1">
      <w:pPr>
        <w:pStyle w:val="Pardeliste"/>
        <w:ind w:left="0"/>
        <w:jc w:val="both"/>
        <w:rPr>
          <w:rFonts w:cs="Calibri"/>
          <w:sz w:val="24"/>
          <w:szCs w:val="24"/>
        </w:rPr>
      </w:pPr>
      <w:r w:rsidRPr="009E0EFA">
        <w:rPr>
          <w:rFonts w:cs="Calibri"/>
          <w:sz w:val="24"/>
          <w:szCs w:val="24"/>
        </w:rPr>
        <w:t xml:space="preserve">Les FMN poursuivent des stratégies à l’échelle mondiale : </w:t>
      </w:r>
    </w:p>
    <w:p w14:paraId="5053CF5E" w14:textId="77777777" w:rsidR="00D174F1" w:rsidRPr="009E0EFA" w:rsidRDefault="00D174F1" w:rsidP="004C597B">
      <w:pPr>
        <w:pStyle w:val="Pardeliste"/>
        <w:ind w:left="0"/>
        <w:jc w:val="both"/>
        <w:rPr>
          <w:rFonts w:cs="Calibri"/>
          <w:sz w:val="24"/>
          <w:szCs w:val="24"/>
        </w:rPr>
      </w:pPr>
      <w:r w:rsidRPr="009E0EFA">
        <w:rPr>
          <w:rFonts w:cs="Calibri"/>
          <w:sz w:val="24"/>
          <w:szCs w:val="24"/>
        </w:rPr>
        <w:t>- elles installent des filiales là où le coût du travail est faible et de bonne qualité (ex. : la Chine pour Apple) ; elles localisent des filiales dans des pays offrant des conditions fiscales avantageuses (l’</w:t>
      </w:r>
      <w:r w:rsidR="004C597B" w:rsidRPr="009E0EFA">
        <w:rPr>
          <w:rFonts w:cs="Calibri"/>
          <w:sz w:val="24"/>
          <w:szCs w:val="24"/>
        </w:rPr>
        <w:t>Irlande, le Luxembourg par exemple) </w:t>
      </w:r>
    </w:p>
    <w:p w14:paraId="3A472CCE" w14:textId="11D92FE6" w:rsidR="008D2907" w:rsidRDefault="00D174F1" w:rsidP="004C597B">
      <w:pPr>
        <w:pStyle w:val="Pardeliste"/>
        <w:ind w:left="0"/>
        <w:jc w:val="both"/>
        <w:rPr>
          <w:rFonts w:cs="Calibri"/>
          <w:sz w:val="24"/>
          <w:szCs w:val="24"/>
        </w:rPr>
      </w:pPr>
      <w:r w:rsidRPr="009E0EFA">
        <w:rPr>
          <w:rFonts w:cs="Calibri"/>
          <w:sz w:val="24"/>
          <w:szCs w:val="24"/>
        </w:rPr>
        <w:t>- elles fixent des prix de transfert (prix auquel est échangé un produit entre filiales du même groupe) pour optimiser leurs bénéfices et diminuer les impôts que la firme devra payer (en réduisant les montants des prix de transfert).</w:t>
      </w:r>
    </w:p>
    <w:p w14:paraId="540F3B8F" w14:textId="676CAED8" w:rsidR="009E0EFA" w:rsidRPr="00982D8F" w:rsidRDefault="009E0EFA" w:rsidP="004C597B">
      <w:pPr>
        <w:pStyle w:val="Pardeliste"/>
        <w:ind w:left="0"/>
        <w:jc w:val="both"/>
        <w:rPr>
          <w:rFonts w:cs="Calibri"/>
          <w:b/>
          <w:bCs/>
          <w:sz w:val="24"/>
          <w:szCs w:val="24"/>
          <w:u w:val="single"/>
        </w:rPr>
      </w:pPr>
    </w:p>
    <w:p w14:paraId="0A3F5848" w14:textId="77777777" w:rsidR="00982D8F" w:rsidRDefault="00982D8F" w:rsidP="004C597B">
      <w:pPr>
        <w:pStyle w:val="Pardeliste"/>
        <w:ind w:left="0"/>
        <w:jc w:val="both"/>
        <w:rPr>
          <w:rFonts w:cs="Calibri"/>
          <w:b/>
          <w:bCs/>
          <w:sz w:val="24"/>
          <w:szCs w:val="24"/>
          <w:u w:val="single"/>
        </w:rPr>
      </w:pPr>
    </w:p>
    <w:p w14:paraId="65490C88" w14:textId="77777777" w:rsidR="00982D8F" w:rsidRDefault="00982D8F" w:rsidP="004C597B">
      <w:pPr>
        <w:pStyle w:val="Pardeliste"/>
        <w:ind w:left="0"/>
        <w:jc w:val="both"/>
        <w:rPr>
          <w:rFonts w:cs="Calibri"/>
          <w:b/>
          <w:bCs/>
          <w:sz w:val="24"/>
          <w:szCs w:val="24"/>
          <w:u w:val="single"/>
        </w:rPr>
      </w:pPr>
    </w:p>
    <w:p w14:paraId="63E28BD0" w14:textId="74899865" w:rsidR="00982D8F" w:rsidRDefault="009E0EFA" w:rsidP="004C597B">
      <w:pPr>
        <w:pStyle w:val="Pardeliste"/>
        <w:ind w:left="0"/>
        <w:jc w:val="both"/>
        <w:rPr>
          <w:rFonts w:cs="Calibri"/>
          <w:sz w:val="24"/>
          <w:szCs w:val="24"/>
        </w:rPr>
      </w:pPr>
      <w:r w:rsidRPr="00982D8F">
        <w:rPr>
          <w:rFonts w:cs="Calibri"/>
          <w:b/>
          <w:bCs/>
          <w:sz w:val="24"/>
          <w:szCs w:val="24"/>
          <w:u w:val="single"/>
        </w:rPr>
        <w:lastRenderedPageBreak/>
        <w:t>Classeur pédagogique</w:t>
      </w:r>
      <w:r>
        <w:rPr>
          <w:rFonts w:cs="Calibri"/>
          <w:sz w:val="24"/>
          <w:szCs w:val="24"/>
        </w:rPr>
        <w:t> </w:t>
      </w:r>
      <w:r w:rsidR="00982D8F">
        <w:rPr>
          <w:rFonts w:cs="Calibri"/>
          <w:sz w:val="24"/>
          <w:szCs w:val="24"/>
        </w:rPr>
        <w:t>-</w:t>
      </w:r>
      <w:r>
        <w:rPr>
          <w:rFonts w:cs="Calibri"/>
          <w:sz w:val="24"/>
          <w:szCs w:val="24"/>
        </w:rPr>
        <w:t xml:space="preserve"> </w:t>
      </w:r>
      <w:r w:rsidR="00982D8F">
        <w:rPr>
          <w:rFonts w:cs="Calibri"/>
          <w:sz w:val="24"/>
          <w:szCs w:val="24"/>
        </w:rPr>
        <w:t xml:space="preserve">Carte questions : </w:t>
      </w:r>
    </w:p>
    <w:p w14:paraId="519C09F5" w14:textId="5DA85E30" w:rsidR="00982D8F" w:rsidRDefault="001C7087" w:rsidP="004C597B">
      <w:pPr>
        <w:pStyle w:val="Pardeliste"/>
        <w:ind w:left="0"/>
        <w:jc w:val="both"/>
        <w:rPr>
          <w:rFonts w:cs="Calibri"/>
          <w:noProof/>
          <w:sz w:val="24"/>
          <w:szCs w:val="24"/>
        </w:rPr>
      </w:pPr>
      <w:r>
        <w:rPr>
          <w:rFonts w:cs="Calibri"/>
          <w:noProof/>
          <w:sz w:val="24"/>
          <w:szCs w:val="24"/>
          <w:lang w:eastAsia="fr-FR"/>
        </w:rPr>
        <w:drawing>
          <wp:anchor distT="0" distB="0" distL="114300" distR="114300" simplePos="0" relativeHeight="251653632" behindDoc="1" locked="0" layoutInCell="1" allowOverlap="1" wp14:anchorId="7ACBCE5B" wp14:editId="7C5B499C">
            <wp:simplePos x="0" y="0"/>
            <wp:positionH relativeFrom="column">
              <wp:posOffset>-1905</wp:posOffset>
            </wp:positionH>
            <wp:positionV relativeFrom="paragraph">
              <wp:posOffset>37465</wp:posOffset>
            </wp:positionV>
            <wp:extent cx="4314825" cy="3073400"/>
            <wp:effectExtent l="0" t="0" r="0" b="0"/>
            <wp:wrapTight wrapText="bothSides">
              <wp:wrapPolygon edited="0">
                <wp:start x="0" y="0"/>
                <wp:lineTo x="0" y="21421"/>
                <wp:lineTo x="21552" y="21421"/>
                <wp:lineTo x="21552" y="0"/>
                <wp:lineTo x="0" y="0"/>
              </wp:wrapPolygon>
            </wp:wrapTight>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sta-deficit-commercial-chine-etats-unis-evolution-sur-10-ans-2008-2018-infographie.png"/>
                    <pic:cNvPicPr/>
                  </pic:nvPicPr>
                  <pic:blipFill>
                    <a:blip r:embed="rId9">
                      <a:extLst>
                        <a:ext uri="{28A0092B-C50C-407E-A947-70E740481C1C}">
                          <a14:useLocalDpi xmlns:a14="http://schemas.microsoft.com/office/drawing/2010/main" val="0"/>
                        </a:ext>
                      </a:extLst>
                    </a:blip>
                    <a:stretch>
                      <a:fillRect/>
                    </a:stretch>
                  </pic:blipFill>
                  <pic:spPr>
                    <a:xfrm>
                      <a:off x="0" y="0"/>
                      <a:ext cx="4314825" cy="3073400"/>
                    </a:xfrm>
                    <a:prstGeom prst="rect">
                      <a:avLst/>
                    </a:prstGeom>
                  </pic:spPr>
                </pic:pic>
              </a:graphicData>
            </a:graphic>
            <wp14:sizeRelH relativeFrom="page">
              <wp14:pctWidth>0</wp14:pctWidth>
            </wp14:sizeRelH>
            <wp14:sizeRelV relativeFrom="page">
              <wp14:pctHeight>0</wp14:pctHeight>
            </wp14:sizeRelV>
          </wp:anchor>
        </w:drawing>
      </w:r>
    </w:p>
    <w:p w14:paraId="31476006" w14:textId="4CC3395D" w:rsidR="00982D8F" w:rsidRDefault="00982D8F" w:rsidP="001C7087">
      <w:pPr>
        <w:jc w:val="both"/>
        <w:rPr>
          <w:lang w:eastAsia="en-US" w:bidi="ar-SA"/>
        </w:rPr>
      </w:pPr>
      <w:r w:rsidRPr="00982D8F">
        <w:rPr>
          <w:u w:val="single"/>
          <w:lang w:eastAsia="en-US" w:bidi="ar-SA"/>
        </w:rPr>
        <w:t>Question </w:t>
      </w:r>
      <w:r>
        <w:rPr>
          <w:lang w:eastAsia="en-US" w:bidi="ar-SA"/>
        </w:rPr>
        <w:t xml:space="preserve">: </w:t>
      </w:r>
      <w:r w:rsidRPr="00982D8F">
        <w:rPr>
          <w:i/>
          <w:iCs/>
          <w:lang w:eastAsia="en-US" w:bidi="ar-SA"/>
        </w:rPr>
        <w:t>Dans les échanges commerciaux entre ces deux pays (Etats-Unis et Chine), lequel importe plus qu'il n'exporte à l'autre ?</w:t>
      </w:r>
    </w:p>
    <w:p w14:paraId="445295C0" w14:textId="29492036" w:rsidR="00982D8F" w:rsidRDefault="00982D8F" w:rsidP="001C7087">
      <w:pPr>
        <w:jc w:val="both"/>
        <w:rPr>
          <w:lang w:eastAsia="en-US" w:bidi="ar-SA"/>
        </w:rPr>
      </w:pPr>
      <w:r>
        <w:rPr>
          <w:lang w:eastAsia="en-US" w:bidi="ar-SA"/>
        </w:rPr>
        <w:t xml:space="preserve">Autre question possible : </w:t>
      </w:r>
      <w:r w:rsidRPr="00982D8F">
        <w:rPr>
          <w:i/>
          <w:iCs/>
          <w:lang w:eastAsia="en-US" w:bidi="ar-SA"/>
        </w:rPr>
        <w:t>Commentez l’évolution du solde commercial des Etats-Unis.</w:t>
      </w:r>
      <w:r>
        <w:rPr>
          <w:lang w:eastAsia="en-US" w:bidi="ar-SA"/>
        </w:rPr>
        <w:t xml:space="preserve"> </w:t>
      </w:r>
    </w:p>
    <w:p w14:paraId="75657E1F" w14:textId="51A4688B" w:rsidR="001C7087" w:rsidRDefault="001C7087" w:rsidP="001C7087">
      <w:pPr>
        <w:jc w:val="both"/>
        <w:rPr>
          <w:lang w:eastAsia="en-US" w:bidi="ar-SA"/>
        </w:rPr>
      </w:pPr>
    </w:p>
    <w:p w14:paraId="2B4B6AF3" w14:textId="0752A693" w:rsidR="001C7087" w:rsidRDefault="001C7087" w:rsidP="001C7087">
      <w:pPr>
        <w:jc w:val="both"/>
        <w:rPr>
          <w:lang w:eastAsia="en-US" w:bidi="ar-SA"/>
        </w:rPr>
      </w:pPr>
    </w:p>
    <w:p w14:paraId="08CD1505" w14:textId="0BEB4744" w:rsidR="001C7087" w:rsidRDefault="001C7087" w:rsidP="001C7087">
      <w:pPr>
        <w:jc w:val="both"/>
        <w:rPr>
          <w:lang w:eastAsia="en-US" w:bidi="ar-SA"/>
        </w:rPr>
      </w:pPr>
    </w:p>
    <w:p w14:paraId="6BCCA4D2" w14:textId="5C19AE47" w:rsidR="001C7087" w:rsidRDefault="001C7087" w:rsidP="001C7087">
      <w:pPr>
        <w:jc w:val="both"/>
        <w:rPr>
          <w:lang w:eastAsia="en-US" w:bidi="ar-SA"/>
        </w:rPr>
      </w:pPr>
      <w:r>
        <w:rPr>
          <w:noProof/>
          <w:lang w:eastAsia="fr-FR" w:bidi="ar-SA"/>
        </w:rPr>
        <w:drawing>
          <wp:anchor distT="0" distB="0" distL="114300" distR="114300" simplePos="0" relativeHeight="251658752" behindDoc="1" locked="0" layoutInCell="1" allowOverlap="1" wp14:anchorId="6AA306B2" wp14:editId="550500D0">
            <wp:simplePos x="0" y="0"/>
            <wp:positionH relativeFrom="column">
              <wp:posOffset>2369820</wp:posOffset>
            </wp:positionH>
            <wp:positionV relativeFrom="paragraph">
              <wp:posOffset>163830</wp:posOffset>
            </wp:positionV>
            <wp:extent cx="4295775" cy="2636520"/>
            <wp:effectExtent l="0" t="0" r="0" b="0"/>
            <wp:wrapTight wrapText="bothSides">
              <wp:wrapPolygon edited="0">
                <wp:start x="0" y="0"/>
                <wp:lineTo x="0" y="21382"/>
                <wp:lineTo x="21552" y="21382"/>
                <wp:lineTo x="21552" y="0"/>
                <wp:lineTo x="0" y="0"/>
              </wp:wrapPolygon>
            </wp:wrapTight>
            <wp:docPr id="2" name="Image 2"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jpeg"/>
                    <pic:cNvPicPr/>
                  </pic:nvPicPr>
                  <pic:blipFill rotWithShape="1">
                    <a:blip r:embed="rId10" cstate="print">
                      <a:extLst>
                        <a:ext uri="{28A0092B-C50C-407E-A947-70E740481C1C}">
                          <a14:useLocalDpi xmlns:a14="http://schemas.microsoft.com/office/drawing/2010/main" val="0"/>
                        </a:ext>
                      </a:extLst>
                    </a:blip>
                    <a:srcRect t="2822" b="2616"/>
                    <a:stretch/>
                  </pic:blipFill>
                  <pic:spPr bwMode="auto">
                    <a:xfrm>
                      <a:off x="0" y="0"/>
                      <a:ext cx="4295775"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EAA48F" w14:textId="4C50B67C" w:rsidR="00982D8F" w:rsidRDefault="00982D8F" w:rsidP="001C7087">
      <w:pPr>
        <w:jc w:val="both"/>
        <w:rPr>
          <w:lang w:eastAsia="en-US" w:bidi="ar-SA"/>
        </w:rPr>
      </w:pPr>
    </w:p>
    <w:p w14:paraId="377CCD41" w14:textId="77777777" w:rsidR="00982D8F" w:rsidRDefault="00982D8F" w:rsidP="001C7087">
      <w:pPr>
        <w:jc w:val="both"/>
        <w:rPr>
          <w:i/>
          <w:iCs/>
        </w:rPr>
      </w:pPr>
      <w:r w:rsidRPr="00982D8F">
        <w:rPr>
          <w:u w:val="single"/>
          <w:lang w:eastAsia="en-US" w:bidi="ar-SA"/>
        </w:rPr>
        <w:t>Question :</w:t>
      </w:r>
      <w:r>
        <w:rPr>
          <w:lang w:eastAsia="en-US" w:bidi="ar-SA"/>
        </w:rPr>
        <w:t xml:space="preserve"> </w:t>
      </w:r>
      <w:r w:rsidRPr="00982D8F">
        <w:rPr>
          <w:i/>
          <w:iCs/>
        </w:rPr>
        <w:t xml:space="preserve">Quel pays semble être le plus compétitif au niveau des échanges internationaux. </w:t>
      </w:r>
    </w:p>
    <w:p w14:paraId="2F9F9EA9" w14:textId="2566B772" w:rsidR="001C7087" w:rsidRDefault="00982D8F" w:rsidP="001C7087">
      <w:pPr>
        <w:jc w:val="both"/>
        <w:rPr>
          <w:i/>
          <w:iCs/>
        </w:rPr>
      </w:pPr>
      <w:r>
        <w:rPr>
          <w:i/>
          <w:iCs/>
        </w:rPr>
        <w:t>Pour approfondir : Possibilité de demander aux élèves de j</w:t>
      </w:r>
      <w:r w:rsidRPr="00982D8F">
        <w:rPr>
          <w:i/>
          <w:iCs/>
        </w:rPr>
        <w:t>ustifie</w:t>
      </w:r>
      <w:r>
        <w:rPr>
          <w:i/>
          <w:iCs/>
        </w:rPr>
        <w:t>r.</w:t>
      </w:r>
    </w:p>
    <w:p w14:paraId="3C9BE482" w14:textId="439A31E8" w:rsidR="001C7087" w:rsidRDefault="001C7087" w:rsidP="001C7087">
      <w:pPr>
        <w:jc w:val="both"/>
        <w:rPr>
          <w:i/>
          <w:iCs/>
        </w:rPr>
      </w:pPr>
    </w:p>
    <w:p w14:paraId="0D797397" w14:textId="08395365" w:rsidR="001C7087" w:rsidRDefault="001C7087" w:rsidP="001C7087">
      <w:pPr>
        <w:jc w:val="both"/>
        <w:rPr>
          <w:i/>
          <w:iCs/>
        </w:rPr>
      </w:pPr>
    </w:p>
    <w:p w14:paraId="6B5BDC37" w14:textId="1A40F215" w:rsidR="00982D8F" w:rsidRDefault="001C7087" w:rsidP="001C7087">
      <w:pPr>
        <w:jc w:val="both"/>
        <w:rPr>
          <w:i/>
          <w:iCs/>
          <w:lang w:eastAsia="en-US" w:bidi="ar-SA"/>
        </w:rPr>
      </w:pPr>
      <w:r>
        <w:rPr>
          <w:i/>
          <w:iCs/>
          <w:noProof/>
          <w:lang w:eastAsia="fr-FR" w:bidi="ar-SA"/>
        </w:rPr>
        <w:drawing>
          <wp:anchor distT="0" distB="0" distL="114300" distR="114300" simplePos="0" relativeHeight="251661824" behindDoc="1" locked="0" layoutInCell="1" allowOverlap="1" wp14:anchorId="0E842A79" wp14:editId="148F030E">
            <wp:simplePos x="0" y="0"/>
            <wp:positionH relativeFrom="column">
              <wp:posOffset>-116205</wp:posOffset>
            </wp:positionH>
            <wp:positionV relativeFrom="paragraph">
              <wp:posOffset>339090</wp:posOffset>
            </wp:positionV>
            <wp:extent cx="4171950" cy="2861945"/>
            <wp:effectExtent l="0" t="0" r="0" b="0"/>
            <wp:wrapTight wrapText="bothSides">
              <wp:wrapPolygon edited="0">
                <wp:start x="0" y="0"/>
                <wp:lineTo x="0" y="21423"/>
                <wp:lineTo x="21501" y="21423"/>
                <wp:lineTo x="21501" y="0"/>
                <wp:lineTo x="0" y="0"/>
              </wp:wrapPolygon>
            </wp:wrapTight>
            <wp:docPr id="3" name="Image 3"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cs-2018-tt-width-800-height-549-fill-0-crop-0-bgcolor-eeeeee.png"/>
                    <pic:cNvPicPr/>
                  </pic:nvPicPr>
                  <pic:blipFill>
                    <a:blip r:embed="rId11">
                      <a:extLst>
                        <a:ext uri="{28A0092B-C50C-407E-A947-70E740481C1C}">
                          <a14:useLocalDpi xmlns:a14="http://schemas.microsoft.com/office/drawing/2010/main" val="0"/>
                        </a:ext>
                      </a:extLst>
                    </a:blip>
                    <a:stretch>
                      <a:fillRect/>
                    </a:stretch>
                  </pic:blipFill>
                  <pic:spPr>
                    <a:xfrm>
                      <a:off x="0" y="0"/>
                      <a:ext cx="4171950" cy="2861945"/>
                    </a:xfrm>
                    <a:prstGeom prst="rect">
                      <a:avLst/>
                    </a:prstGeom>
                  </pic:spPr>
                </pic:pic>
              </a:graphicData>
            </a:graphic>
            <wp14:sizeRelH relativeFrom="page">
              <wp14:pctWidth>0</wp14:pctWidth>
            </wp14:sizeRelH>
            <wp14:sizeRelV relativeFrom="page">
              <wp14:pctHeight>0</wp14:pctHeight>
            </wp14:sizeRelV>
          </wp:anchor>
        </w:drawing>
      </w:r>
    </w:p>
    <w:p w14:paraId="748E748B" w14:textId="77777777" w:rsidR="001C7087" w:rsidRDefault="001C7087" w:rsidP="001C7087">
      <w:pPr>
        <w:jc w:val="both"/>
        <w:rPr>
          <w:u w:val="single"/>
          <w:lang w:eastAsia="en-US" w:bidi="ar-SA"/>
        </w:rPr>
      </w:pPr>
    </w:p>
    <w:p w14:paraId="3791DAE9" w14:textId="77777777" w:rsidR="001C7087" w:rsidRDefault="001C7087" w:rsidP="001C7087">
      <w:pPr>
        <w:jc w:val="both"/>
        <w:rPr>
          <w:u w:val="single"/>
          <w:lang w:eastAsia="en-US" w:bidi="ar-SA"/>
        </w:rPr>
      </w:pPr>
    </w:p>
    <w:p w14:paraId="6C7D1036" w14:textId="1819F9D3" w:rsidR="00982D8F" w:rsidRDefault="00982D8F" w:rsidP="001C7087">
      <w:pPr>
        <w:jc w:val="both"/>
        <w:rPr>
          <w:i/>
          <w:iCs/>
          <w:lang w:eastAsia="en-US" w:bidi="ar-SA"/>
        </w:rPr>
      </w:pPr>
      <w:r w:rsidRPr="00982D8F">
        <w:rPr>
          <w:u w:val="single"/>
          <w:lang w:eastAsia="en-US" w:bidi="ar-SA"/>
        </w:rPr>
        <w:t>Question </w:t>
      </w:r>
      <w:r>
        <w:rPr>
          <w:i/>
          <w:iCs/>
          <w:lang w:eastAsia="en-US" w:bidi="ar-SA"/>
        </w:rPr>
        <w:t xml:space="preserve">: </w:t>
      </w:r>
      <w:r w:rsidRPr="00982D8F">
        <w:rPr>
          <w:i/>
          <w:iCs/>
          <w:lang w:eastAsia="en-US" w:bidi="ar-SA"/>
        </w:rPr>
        <w:t>Quel groupe de pays connait un niveau de croissance économique plus important : "Pays développés" ou "pays du BRICS"</w:t>
      </w:r>
      <w:r>
        <w:rPr>
          <w:i/>
          <w:iCs/>
          <w:lang w:eastAsia="en-US" w:bidi="ar-SA"/>
        </w:rPr>
        <w:t> ?</w:t>
      </w:r>
    </w:p>
    <w:p w14:paraId="53E85296" w14:textId="51AE39FB" w:rsidR="00982D8F" w:rsidRPr="001C7087" w:rsidRDefault="00982D8F" w:rsidP="001C7087">
      <w:pPr>
        <w:jc w:val="both"/>
        <w:rPr>
          <w:i/>
          <w:iCs/>
          <w:lang w:eastAsia="en-US" w:bidi="ar-SA"/>
        </w:rPr>
      </w:pPr>
      <w:r>
        <w:rPr>
          <w:lang w:eastAsia="en-US" w:bidi="ar-SA"/>
        </w:rPr>
        <w:t xml:space="preserve">Autres questions possibles : </w:t>
      </w:r>
      <w:r w:rsidRPr="00982D8F">
        <w:rPr>
          <w:i/>
          <w:iCs/>
          <w:lang w:eastAsia="en-US" w:bidi="ar-SA"/>
        </w:rPr>
        <w:t xml:space="preserve">Commentez l’évolution </w:t>
      </w:r>
      <w:r>
        <w:rPr>
          <w:i/>
          <w:iCs/>
          <w:lang w:eastAsia="en-US" w:bidi="ar-SA"/>
        </w:rPr>
        <w:t xml:space="preserve">de la croissance économique dans ces pays. </w:t>
      </w:r>
      <w:r w:rsidR="001C7087" w:rsidRPr="001C7087">
        <w:rPr>
          <w:b/>
          <w:bCs/>
          <w:i/>
          <w:iCs/>
          <w:lang w:eastAsia="en-US" w:bidi="ar-SA"/>
        </w:rPr>
        <w:t>Ou</w:t>
      </w:r>
      <w:r w:rsidR="001C7087">
        <w:rPr>
          <w:i/>
          <w:iCs/>
          <w:lang w:eastAsia="en-US" w:bidi="ar-SA"/>
        </w:rPr>
        <w:t xml:space="preserve"> </w:t>
      </w:r>
      <w:r>
        <w:rPr>
          <w:i/>
          <w:iCs/>
          <w:lang w:eastAsia="en-US" w:bidi="ar-SA"/>
        </w:rPr>
        <w:t>Comparez les niveaux de croissance économique entre les pays développés et les pays du BRICS.</w:t>
      </w:r>
      <w:r>
        <w:rPr>
          <w:lang w:eastAsia="en-US" w:bidi="ar-SA"/>
        </w:rPr>
        <w:t xml:space="preserve"> </w:t>
      </w:r>
    </w:p>
    <w:p w14:paraId="18BE0B97" w14:textId="60DD0C4C" w:rsidR="00982D8F" w:rsidRPr="001C7087" w:rsidRDefault="00982D8F" w:rsidP="00982D8F">
      <w:pPr>
        <w:rPr>
          <w:u w:val="single"/>
          <w:lang w:eastAsia="en-US" w:bidi="ar-SA"/>
        </w:rPr>
      </w:pPr>
      <w:r w:rsidRPr="001C7087">
        <w:rPr>
          <w:u w:val="single"/>
          <w:lang w:eastAsia="en-US" w:bidi="ar-SA"/>
        </w:rPr>
        <w:lastRenderedPageBreak/>
        <w:t xml:space="preserve">Quizz : </w:t>
      </w:r>
    </w:p>
    <w:p w14:paraId="08577EBC" w14:textId="25224D35" w:rsidR="00982D8F" w:rsidRDefault="00982D8F" w:rsidP="00982D8F">
      <w:pPr>
        <w:pStyle w:val="Pardeliste"/>
        <w:numPr>
          <w:ilvl w:val="0"/>
          <w:numId w:val="6"/>
        </w:numPr>
      </w:pPr>
      <w:r>
        <w:t xml:space="preserve">Une exportation correspond au fait de vendre des produits français à l'étranger. </w:t>
      </w:r>
    </w:p>
    <w:p w14:paraId="2FF8B363" w14:textId="2273AB05" w:rsidR="00982D8F" w:rsidRPr="001C7087" w:rsidRDefault="00982D8F" w:rsidP="00982D8F">
      <w:pPr>
        <w:pStyle w:val="Pardeliste"/>
        <w:numPr>
          <w:ilvl w:val="1"/>
          <w:numId w:val="6"/>
        </w:numPr>
        <w:rPr>
          <w:b/>
          <w:bCs/>
          <w:color w:val="00B050"/>
        </w:rPr>
      </w:pPr>
      <w:r w:rsidRPr="001C7087">
        <w:rPr>
          <w:b/>
          <w:bCs/>
          <w:color w:val="00B050"/>
        </w:rPr>
        <w:t>Vrai</w:t>
      </w:r>
    </w:p>
    <w:p w14:paraId="4A74AC4B" w14:textId="1DB5C804" w:rsidR="00982D8F" w:rsidRDefault="00982D8F" w:rsidP="00982D8F">
      <w:pPr>
        <w:pStyle w:val="Pardeliste"/>
        <w:numPr>
          <w:ilvl w:val="1"/>
          <w:numId w:val="6"/>
        </w:numPr>
      </w:pPr>
      <w:r>
        <w:t>Faux</w:t>
      </w:r>
    </w:p>
    <w:p w14:paraId="307300EE" w14:textId="2413EB7A" w:rsidR="00982D8F" w:rsidRDefault="00982D8F" w:rsidP="00982D8F">
      <w:pPr>
        <w:pStyle w:val="Pardeliste"/>
        <w:numPr>
          <w:ilvl w:val="0"/>
          <w:numId w:val="6"/>
        </w:numPr>
      </w:pPr>
      <w:r>
        <w:t>Les exportations et les importations ne concernent que les marchandises.</w:t>
      </w:r>
    </w:p>
    <w:p w14:paraId="6F8B6AD8" w14:textId="77777777" w:rsidR="00982D8F" w:rsidRDefault="00982D8F" w:rsidP="00982D8F">
      <w:pPr>
        <w:pStyle w:val="Pardeliste"/>
        <w:numPr>
          <w:ilvl w:val="1"/>
          <w:numId w:val="6"/>
        </w:numPr>
      </w:pPr>
      <w:r>
        <w:t>Vrai</w:t>
      </w:r>
    </w:p>
    <w:p w14:paraId="528EC6BF" w14:textId="77777777" w:rsidR="00982D8F" w:rsidRPr="001C7087" w:rsidRDefault="00982D8F" w:rsidP="00982D8F">
      <w:pPr>
        <w:pStyle w:val="Pardeliste"/>
        <w:numPr>
          <w:ilvl w:val="1"/>
          <w:numId w:val="6"/>
        </w:numPr>
        <w:rPr>
          <w:b/>
          <w:bCs/>
          <w:color w:val="00B050"/>
        </w:rPr>
      </w:pPr>
      <w:r w:rsidRPr="001C7087">
        <w:rPr>
          <w:b/>
          <w:bCs/>
          <w:color w:val="00B050"/>
        </w:rPr>
        <w:t>Faux</w:t>
      </w:r>
    </w:p>
    <w:p w14:paraId="2B3D73AD" w14:textId="03936538" w:rsidR="00982D8F" w:rsidRDefault="00982D8F" w:rsidP="00982D8F">
      <w:pPr>
        <w:pStyle w:val="Pardeliste"/>
        <w:numPr>
          <w:ilvl w:val="0"/>
          <w:numId w:val="6"/>
        </w:numPr>
      </w:pPr>
      <w:r>
        <w:t>La balance commerciale mesure les échanges (importations et exportations) de marchandises.</w:t>
      </w:r>
    </w:p>
    <w:p w14:paraId="0F70E79E" w14:textId="77777777" w:rsidR="00982D8F" w:rsidRPr="001C7087" w:rsidRDefault="00982D8F" w:rsidP="00982D8F">
      <w:pPr>
        <w:pStyle w:val="Pardeliste"/>
        <w:numPr>
          <w:ilvl w:val="1"/>
          <w:numId w:val="6"/>
        </w:numPr>
        <w:rPr>
          <w:b/>
          <w:bCs/>
          <w:color w:val="00B050"/>
        </w:rPr>
      </w:pPr>
      <w:r w:rsidRPr="001C7087">
        <w:rPr>
          <w:b/>
          <w:bCs/>
          <w:color w:val="00B050"/>
        </w:rPr>
        <w:t>Vrai</w:t>
      </w:r>
    </w:p>
    <w:p w14:paraId="79725B02" w14:textId="77777777" w:rsidR="00982D8F" w:rsidRDefault="00982D8F" w:rsidP="00982D8F">
      <w:pPr>
        <w:pStyle w:val="Pardeliste"/>
        <w:numPr>
          <w:ilvl w:val="1"/>
          <w:numId w:val="6"/>
        </w:numPr>
      </w:pPr>
      <w:r>
        <w:t>Faux</w:t>
      </w:r>
    </w:p>
    <w:p w14:paraId="489ECED0" w14:textId="3F454191" w:rsidR="00982D8F" w:rsidRPr="001C7087" w:rsidRDefault="00982D8F" w:rsidP="00982D8F">
      <w:pPr>
        <w:pStyle w:val="Pardeliste"/>
        <w:numPr>
          <w:ilvl w:val="0"/>
          <w:numId w:val="6"/>
        </w:numPr>
      </w:pPr>
      <w:r w:rsidRPr="00982D8F">
        <w:rPr>
          <w:rFonts w:asciiTheme="minorHAnsi" w:eastAsiaTheme="minorEastAsia" w:hAnsiTheme="minorHAnsi" w:cstheme="minorBidi"/>
          <w:lang w:eastAsia="zh-TW" w:bidi="he-IL"/>
        </w:rPr>
        <w:t>La</w:t>
      </w:r>
      <w:r w:rsidRPr="00982D8F">
        <w:rPr>
          <w:rFonts w:asciiTheme="minorHAnsi" w:eastAsiaTheme="minorEastAsia" w:hAnsiTheme="minorHAnsi" w:cstheme="minorBidi"/>
          <w:b/>
          <w:bCs/>
          <w:lang w:eastAsia="zh-TW" w:bidi="he-IL"/>
        </w:rPr>
        <w:t xml:space="preserve"> </w:t>
      </w:r>
      <w:r w:rsidRPr="00982D8F">
        <w:rPr>
          <w:rFonts w:asciiTheme="minorHAnsi" w:eastAsiaTheme="minorEastAsia" w:hAnsiTheme="minorHAnsi" w:cstheme="minorBidi"/>
          <w:lang w:eastAsia="zh-TW" w:bidi="he-IL"/>
        </w:rPr>
        <w:t xml:space="preserve">balance des transactions courantes retrace l'ensemble des échanges de </w:t>
      </w:r>
      <w:r w:rsidR="00F843FA">
        <w:rPr>
          <w:lang w:eastAsia="zh-TW" w:bidi="he-IL"/>
        </w:rPr>
        <w:pict w14:anchorId="229B1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4pt">
            <v:imagedata r:id="rId12" o:title=""/>
          </v:shape>
        </w:pict>
      </w:r>
      <w:r w:rsidRPr="00982D8F">
        <w:rPr>
          <w:rFonts w:asciiTheme="minorHAnsi" w:eastAsiaTheme="minorEastAsia" w:hAnsiTheme="minorHAnsi" w:cstheme="minorBidi"/>
          <w:lang w:eastAsia="zh-TW" w:bidi="he-IL"/>
        </w:rPr>
        <w:t xml:space="preserve">, de </w:t>
      </w:r>
      <w:r w:rsidR="00F843FA">
        <w:rPr>
          <w:lang w:eastAsia="zh-TW" w:bidi="he-IL"/>
        </w:rPr>
        <w:pict w14:anchorId="331674F6">
          <v:shape id="_x0000_i1026" type="#_x0000_t75" style="width:1in;height:18.4pt">
            <v:imagedata r:id="rId12" o:title=""/>
          </v:shape>
        </w:pict>
      </w:r>
      <w:r w:rsidRPr="00982D8F">
        <w:rPr>
          <w:rFonts w:asciiTheme="minorHAnsi" w:eastAsiaTheme="minorEastAsia" w:hAnsiTheme="minorHAnsi" w:cstheme="minorBidi"/>
          <w:lang w:eastAsia="zh-TW" w:bidi="he-IL"/>
        </w:rPr>
        <w:t xml:space="preserve">, de </w:t>
      </w:r>
      <w:r w:rsidR="00F843FA">
        <w:rPr>
          <w:lang w:eastAsia="zh-TW" w:bidi="he-IL"/>
        </w:rPr>
        <w:pict w14:anchorId="7F91D98E">
          <v:shape id="_x0000_i1027" type="#_x0000_t75" style="width:1in;height:18.4pt">
            <v:imagedata r:id="rId12" o:title=""/>
          </v:shape>
        </w:pict>
      </w:r>
      <w:r w:rsidRPr="00982D8F">
        <w:rPr>
          <w:rFonts w:asciiTheme="minorHAnsi" w:eastAsiaTheme="minorEastAsia" w:hAnsiTheme="minorHAnsi" w:cstheme="minorBidi"/>
          <w:lang w:eastAsia="zh-TW" w:bidi="he-IL"/>
        </w:rPr>
        <w:t xml:space="preserve">et de </w:t>
      </w:r>
      <w:r w:rsidR="00F843FA">
        <w:rPr>
          <w:lang w:eastAsia="zh-TW" w:bidi="he-IL"/>
        </w:rPr>
        <w:pict w14:anchorId="195414C6">
          <v:shape id="_x0000_i1028" type="#_x0000_t75" style="width:1in;height:18.4pt">
            <v:imagedata r:id="rId12" o:title=""/>
          </v:shape>
        </w:pict>
      </w:r>
      <w:r w:rsidRPr="00982D8F">
        <w:rPr>
          <w:rFonts w:asciiTheme="minorHAnsi" w:eastAsiaTheme="minorEastAsia" w:hAnsiTheme="minorHAnsi" w:cstheme="minorBidi"/>
          <w:lang w:eastAsia="zh-TW" w:bidi="he-IL"/>
        </w:rPr>
        <w:t>.</w:t>
      </w:r>
    </w:p>
    <w:p w14:paraId="65A3DE00" w14:textId="1FD1D2E8" w:rsidR="001C7087" w:rsidRPr="001C7087" w:rsidRDefault="001C7087" w:rsidP="001C7087">
      <w:pPr>
        <w:pStyle w:val="Pardeliste"/>
        <w:rPr>
          <w:b/>
          <w:bCs/>
          <w:color w:val="00B050"/>
        </w:rPr>
      </w:pPr>
      <w:r w:rsidRPr="001C7087">
        <w:rPr>
          <w:rFonts w:asciiTheme="minorHAnsi" w:eastAsiaTheme="minorEastAsia" w:hAnsiTheme="minorHAnsi" w:cstheme="minorBidi"/>
          <w:b/>
          <w:bCs/>
          <w:color w:val="00B050"/>
          <w:lang w:eastAsia="zh-TW" w:bidi="he-IL"/>
        </w:rPr>
        <w:t xml:space="preserve">La balance des transactions courantes retrace l’ensemble des échanges de marchandises, de services, de revenus primaires et de revenus secondaires. </w:t>
      </w:r>
    </w:p>
    <w:p w14:paraId="07709205" w14:textId="166A910A" w:rsidR="00982D8F" w:rsidRDefault="00982D8F" w:rsidP="00982D8F">
      <w:pPr>
        <w:pStyle w:val="Pardeliste"/>
        <w:numPr>
          <w:ilvl w:val="0"/>
          <w:numId w:val="6"/>
        </w:numPr>
      </w:pPr>
      <w:r>
        <w:t>Un investissement direct à l'étranger (IDE) correspond à la situation dans laquelle</w:t>
      </w:r>
    </w:p>
    <w:p w14:paraId="146F7B03" w14:textId="02966E1F" w:rsidR="00982D8F" w:rsidRPr="00982D8F" w:rsidRDefault="00982D8F" w:rsidP="00982D8F">
      <w:pPr>
        <w:pStyle w:val="Pardeliste"/>
        <w:numPr>
          <w:ilvl w:val="1"/>
          <w:numId w:val="6"/>
        </w:numPr>
        <w:spacing w:after="0" w:line="240" w:lineRule="auto"/>
        <w:rPr>
          <w:rFonts w:asciiTheme="minorHAnsi" w:eastAsia="Times New Roman" w:hAnsiTheme="minorHAnsi" w:cstheme="minorHAnsi"/>
          <w:lang w:eastAsia="fr-FR"/>
        </w:rPr>
      </w:pPr>
      <w:r w:rsidRPr="00982D8F">
        <w:rPr>
          <w:rFonts w:asciiTheme="minorHAnsi" w:eastAsia="Times New Roman" w:hAnsiTheme="minorHAnsi" w:cstheme="minorHAnsi"/>
          <w:lang w:eastAsia="fr-FR"/>
        </w:rPr>
        <w:t>Une entreprise exporte des produits dans un ou plusieurs pays étrangers.</w:t>
      </w:r>
    </w:p>
    <w:p w14:paraId="7A7021A6" w14:textId="2B4D3C1E" w:rsidR="00982D8F" w:rsidRPr="001C7087" w:rsidRDefault="00982D8F" w:rsidP="00982D8F">
      <w:pPr>
        <w:pStyle w:val="Pardeliste"/>
        <w:numPr>
          <w:ilvl w:val="1"/>
          <w:numId w:val="6"/>
        </w:numPr>
        <w:spacing w:after="0" w:line="240" w:lineRule="auto"/>
        <w:rPr>
          <w:rFonts w:asciiTheme="minorHAnsi" w:eastAsia="Times New Roman" w:hAnsiTheme="minorHAnsi" w:cstheme="minorHAnsi"/>
          <w:b/>
          <w:bCs/>
          <w:color w:val="00B050"/>
          <w:lang w:eastAsia="fr-FR"/>
        </w:rPr>
      </w:pPr>
      <w:r w:rsidRPr="001C7087">
        <w:rPr>
          <w:rFonts w:asciiTheme="minorHAnsi" w:eastAsia="Times New Roman" w:hAnsiTheme="minorHAnsi" w:cstheme="minorHAnsi"/>
          <w:b/>
          <w:bCs/>
          <w:color w:val="00B050"/>
          <w:lang w:eastAsia="fr-FR"/>
        </w:rPr>
        <w:t>Une entreprise construit une usine dans un autre pays.</w:t>
      </w:r>
    </w:p>
    <w:p w14:paraId="114AEB5A" w14:textId="6A054DAB" w:rsidR="00982D8F" w:rsidRDefault="00982D8F" w:rsidP="00982D8F">
      <w:pPr>
        <w:pStyle w:val="Pardeliste"/>
        <w:numPr>
          <w:ilvl w:val="0"/>
          <w:numId w:val="6"/>
        </w:numPr>
      </w:pPr>
      <w:r>
        <w:t>Les salaires perçus par les travailleurs frontaliers sont comptabilisés dans la balance des transactions courantes.</w:t>
      </w:r>
    </w:p>
    <w:p w14:paraId="4B1282CB" w14:textId="77777777" w:rsidR="00982D8F" w:rsidRPr="001C7087" w:rsidRDefault="00982D8F" w:rsidP="00982D8F">
      <w:pPr>
        <w:pStyle w:val="Pardeliste"/>
        <w:numPr>
          <w:ilvl w:val="1"/>
          <w:numId w:val="6"/>
        </w:numPr>
        <w:rPr>
          <w:b/>
          <w:bCs/>
          <w:color w:val="00B050"/>
        </w:rPr>
      </w:pPr>
      <w:r w:rsidRPr="001C7087">
        <w:rPr>
          <w:b/>
          <w:bCs/>
          <w:color w:val="00B050"/>
        </w:rPr>
        <w:t>Vrai</w:t>
      </w:r>
    </w:p>
    <w:p w14:paraId="20309338" w14:textId="77777777" w:rsidR="00982D8F" w:rsidRDefault="00982D8F" w:rsidP="00982D8F">
      <w:pPr>
        <w:pStyle w:val="Pardeliste"/>
        <w:numPr>
          <w:ilvl w:val="1"/>
          <w:numId w:val="6"/>
        </w:numPr>
      </w:pPr>
      <w:r>
        <w:t>Faux</w:t>
      </w:r>
    </w:p>
    <w:p w14:paraId="68817FD8" w14:textId="061515E9" w:rsidR="00982D8F" w:rsidRDefault="00982D8F" w:rsidP="00982D8F">
      <w:pPr>
        <w:pStyle w:val="Pardeliste"/>
        <w:numPr>
          <w:ilvl w:val="0"/>
          <w:numId w:val="6"/>
        </w:numPr>
      </w:pPr>
      <w:r>
        <w:t>Depuis des années, la France connait une situation d'excédent commercial.</w:t>
      </w:r>
    </w:p>
    <w:p w14:paraId="0CA7338B" w14:textId="77777777" w:rsidR="00982D8F" w:rsidRDefault="00982D8F" w:rsidP="00982D8F">
      <w:pPr>
        <w:pStyle w:val="Pardeliste"/>
        <w:numPr>
          <w:ilvl w:val="1"/>
          <w:numId w:val="6"/>
        </w:numPr>
      </w:pPr>
      <w:r>
        <w:t>Vrai</w:t>
      </w:r>
    </w:p>
    <w:p w14:paraId="057118DE" w14:textId="77777777" w:rsidR="00982D8F" w:rsidRPr="001C7087" w:rsidRDefault="00982D8F" w:rsidP="00982D8F">
      <w:pPr>
        <w:pStyle w:val="Pardeliste"/>
        <w:numPr>
          <w:ilvl w:val="1"/>
          <w:numId w:val="6"/>
        </w:numPr>
        <w:rPr>
          <w:b/>
          <w:bCs/>
          <w:color w:val="00B050"/>
        </w:rPr>
      </w:pPr>
      <w:r w:rsidRPr="001C7087">
        <w:rPr>
          <w:b/>
          <w:bCs/>
          <w:color w:val="00B050"/>
        </w:rPr>
        <w:t>Faux</w:t>
      </w:r>
    </w:p>
    <w:p w14:paraId="59B0DA05" w14:textId="77777777" w:rsidR="00982D8F" w:rsidRPr="001C7087" w:rsidRDefault="00982D8F" w:rsidP="00982D8F">
      <w:pPr>
        <w:pStyle w:val="Normalweb"/>
        <w:numPr>
          <w:ilvl w:val="0"/>
          <w:numId w:val="6"/>
        </w:numPr>
        <w:rPr>
          <w:rFonts w:asciiTheme="minorHAnsi" w:hAnsiTheme="minorHAnsi" w:cstheme="minorHAnsi"/>
          <w:sz w:val="22"/>
          <w:szCs w:val="22"/>
        </w:rPr>
      </w:pPr>
      <w:r w:rsidRPr="001C7087">
        <w:rPr>
          <w:rFonts w:asciiTheme="minorHAnsi" w:hAnsiTheme="minorHAnsi" w:cstheme="minorHAnsi"/>
          <w:sz w:val="22"/>
          <w:szCs w:val="22"/>
        </w:rPr>
        <w:t>Quelles sont les zones géographiques les plus intégrées dans le commerce mondial ?</w:t>
      </w:r>
    </w:p>
    <w:p w14:paraId="44222E14" w14:textId="77777777" w:rsidR="001C7087" w:rsidRPr="001C7087" w:rsidRDefault="00982D8F" w:rsidP="001C7087">
      <w:pPr>
        <w:pStyle w:val="Normalweb"/>
        <w:numPr>
          <w:ilvl w:val="1"/>
          <w:numId w:val="6"/>
        </w:numPr>
        <w:rPr>
          <w:rFonts w:asciiTheme="minorHAnsi" w:hAnsiTheme="minorHAnsi" w:cstheme="minorHAnsi"/>
          <w:sz w:val="22"/>
          <w:szCs w:val="22"/>
        </w:rPr>
      </w:pPr>
      <w:r w:rsidRPr="001C7087">
        <w:rPr>
          <w:rFonts w:asciiTheme="minorHAnsi" w:hAnsiTheme="minorHAnsi" w:cstheme="minorHAnsi"/>
          <w:sz w:val="22"/>
          <w:szCs w:val="22"/>
        </w:rPr>
        <w:t>L'Afrique centrale</w:t>
      </w:r>
    </w:p>
    <w:p w14:paraId="225CC887" w14:textId="77777777" w:rsidR="001C7087" w:rsidRPr="001C7087" w:rsidRDefault="00982D8F" w:rsidP="001C7087">
      <w:pPr>
        <w:pStyle w:val="Normalweb"/>
        <w:numPr>
          <w:ilvl w:val="1"/>
          <w:numId w:val="6"/>
        </w:numPr>
        <w:rPr>
          <w:rFonts w:asciiTheme="minorHAnsi" w:hAnsiTheme="minorHAnsi" w:cstheme="minorHAnsi"/>
          <w:sz w:val="22"/>
          <w:szCs w:val="22"/>
        </w:rPr>
      </w:pPr>
      <w:r w:rsidRPr="001C7087">
        <w:rPr>
          <w:rFonts w:asciiTheme="minorHAnsi" w:hAnsiTheme="minorHAnsi" w:cstheme="minorHAnsi"/>
          <w:sz w:val="22"/>
          <w:szCs w:val="22"/>
        </w:rPr>
        <w:t>L'Europe orientale</w:t>
      </w:r>
    </w:p>
    <w:p w14:paraId="0EB9AD00" w14:textId="77777777" w:rsidR="001C7087" w:rsidRPr="001C7087" w:rsidRDefault="00982D8F" w:rsidP="001C7087">
      <w:pPr>
        <w:pStyle w:val="Normalweb"/>
        <w:numPr>
          <w:ilvl w:val="1"/>
          <w:numId w:val="6"/>
        </w:numPr>
        <w:rPr>
          <w:rFonts w:asciiTheme="minorHAnsi" w:hAnsiTheme="minorHAnsi" w:cstheme="minorHAnsi"/>
          <w:sz w:val="22"/>
          <w:szCs w:val="22"/>
        </w:rPr>
      </w:pPr>
      <w:r w:rsidRPr="001C7087">
        <w:rPr>
          <w:rFonts w:asciiTheme="minorHAnsi" w:hAnsiTheme="minorHAnsi" w:cstheme="minorHAnsi"/>
          <w:sz w:val="22"/>
          <w:szCs w:val="22"/>
        </w:rPr>
        <w:t>L'Amérique du sud</w:t>
      </w:r>
    </w:p>
    <w:p w14:paraId="0C162C12" w14:textId="77777777" w:rsidR="001C7087" w:rsidRPr="001C7087" w:rsidRDefault="00982D8F" w:rsidP="001C7087">
      <w:pPr>
        <w:pStyle w:val="Normalweb"/>
        <w:numPr>
          <w:ilvl w:val="1"/>
          <w:numId w:val="6"/>
        </w:numPr>
        <w:rPr>
          <w:rFonts w:asciiTheme="minorHAnsi" w:hAnsiTheme="minorHAnsi" w:cstheme="minorHAnsi"/>
          <w:b/>
          <w:bCs/>
          <w:color w:val="00B050"/>
          <w:sz w:val="22"/>
          <w:szCs w:val="22"/>
        </w:rPr>
      </w:pPr>
      <w:r w:rsidRPr="001C7087">
        <w:rPr>
          <w:rFonts w:asciiTheme="minorHAnsi" w:hAnsiTheme="minorHAnsi" w:cstheme="minorHAnsi"/>
          <w:b/>
          <w:bCs/>
          <w:color w:val="00B050"/>
          <w:sz w:val="22"/>
          <w:szCs w:val="22"/>
        </w:rPr>
        <w:t>L'Amérique du Nord</w:t>
      </w:r>
    </w:p>
    <w:p w14:paraId="35772A48" w14:textId="77777777" w:rsidR="001C7087" w:rsidRPr="001C7087" w:rsidRDefault="00982D8F" w:rsidP="001C7087">
      <w:pPr>
        <w:pStyle w:val="Normalweb"/>
        <w:numPr>
          <w:ilvl w:val="1"/>
          <w:numId w:val="6"/>
        </w:numPr>
        <w:rPr>
          <w:rFonts w:asciiTheme="minorHAnsi" w:hAnsiTheme="minorHAnsi" w:cstheme="minorHAnsi"/>
          <w:b/>
          <w:bCs/>
          <w:color w:val="00B050"/>
          <w:sz w:val="22"/>
          <w:szCs w:val="22"/>
        </w:rPr>
      </w:pPr>
      <w:r w:rsidRPr="001C7087">
        <w:rPr>
          <w:rFonts w:asciiTheme="minorHAnsi" w:hAnsiTheme="minorHAnsi" w:cstheme="minorHAnsi"/>
          <w:b/>
          <w:bCs/>
          <w:color w:val="00B050"/>
          <w:sz w:val="22"/>
          <w:szCs w:val="22"/>
        </w:rPr>
        <w:t>L'Europe occidentale</w:t>
      </w:r>
    </w:p>
    <w:p w14:paraId="10D7B01A" w14:textId="77C4016A" w:rsidR="00982D8F" w:rsidRPr="001C7087" w:rsidRDefault="00982D8F" w:rsidP="001C7087">
      <w:pPr>
        <w:pStyle w:val="Normalweb"/>
        <w:numPr>
          <w:ilvl w:val="1"/>
          <w:numId w:val="6"/>
        </w:numPr>
        <w:rPr>
          <w:rFonts w:asciiTheme="minorHAnsi" w:hAnsiTheme="minorHAnsi" w:cstheme="minorHAnsi"/>
          <w:b/>
          <w:bCs/>
          <w:color w:val="00B050"/>
          <w:sz w:val="22"/>
          <w:szCs w:val="22"/>
        </w:rPr>
      </w:pPr>
      <w:r w:rsidRPr="001C7087">
        <w:rPr>
          <w:rFonts w:asciiTheme="minorHAnsi" w:hAnsiTheme="minorHAnsi" w:cstheme="minorHAnsi"/>
          <w:b/>
          <w:bCs/>
          <w:color w:val="00B050"/>
          <w:sz w:val="22"/>
          <w:szCs w:val="22"/>
        </w:rPr>
        <w:t>L'Asie Pacifique</w:t>
      </w:r>
    </w:p>
    <w:p w14:paraId="71F63048" w14:textId="7FA5BDB1" w:rsidR="00982D8F" w:rsidRDefault="001C7087" w:rsidP="00982D8F">
      <w:pPr>
        <w:pStyle w:val="Pardeliste"/>
        <w:numPr>
          <w:ilvl w:val="0"/>
          <w:numId w:val="6"/>
        </w:numPr>
      </w:pPr>
      <w:r>
        <w:t>Les pays développés ont des taux de croissance plus élevés que les pays du BRICS.</w:t>
      </w:r>
    </w:p>
    <w:p w14:paraId="601AE593" w14:textId="77777777" w:rsidR="001C7087" w:rsidRDefault="001C7087" w:rsidP="001C7087">
      <w:pPr>
        <w:pStyle w:val="Pardeliste"/>
        <w:numPr>
          <w:ilvl w:val="1"/>
          <w:numId w:val="6"/>
        </w:numPr>
      </w:pPr>
      <w:r>
        <w:t>Vrai</w:t>
      </w:r>
    </w:p>
    <w:p w14:paraId="02E610BF" w14:textId="77777777" w:rsidR="001C7087" w:rsidRPr="001C7087" w:rsidRDefault="001C7087" w:rsidP="001C7087">
      <w:pPr>
        <w:pStyle w:val="Pardeliste"/>
        <w:numPr>
          <w:ilvl w:val="1"/>
          <w:numId w:val="6"/>
        </w:numPr>
        <w:rPr>
          <w:b/>
          <w:bCs/>
          <w:color w:val="00B050"/>
        </w:rPr>
      </w:pPr>
      <w:r w:rsidRPr="001C7087">
        <w:rPr>
          <w:b/>
          <w:bCs/>
          <w:color w:val="00B050"/>
        </w:rPr>
        <w:t>Faux</w:t>
      </w:r>
    </w:p>
    <w:p w14:paraId="146B344D" w14:textId="1FE326E3" w:rsidR="001C7087" w:rsidRDefault="001C7087" w:rsidP="00982D8F">
      <w:pPr>
        <w:pStyle w:val="Pardeliste"/>
        <w:numPr>
          <w:ilvl w:val="0"/>
          <w:numId w:val="6"/>
        </w:numPr>
      </w:pPr>
      <w:r>
        <w:t>Une firme multinationale correspond à une entreprise qui réalise une partie importante de son chiffre d'affaires à l'étranger.</w:t>
      </w:r>
    </w:p>
    <w:p w14:paraId="054F0B76" w14:textId="77777777" w:rsidR="001C7087" w:rsidRDefault="001C7087" w:rsidP="001C7087">
      <w:pPr>
        <w:pStyle w:val="Pardeliste"/>
        <w:numPr>
          <w:ilvl w:val="1"/>
          <w:numId w:val="6"/>
        </w:numPr>
      </w:pPr>
      <w:r>
        <w:t>Vrai</w:t>
      </w:r>
    </w:p>
    <w:p w14:paraId="4477677D" w14:textId="77777777" w:rsidR="001C7087" w:rsidRPr="001C7087" w:rsidRDefault="001C7087" w:rsidP="001C7087">
      <w:pPr>
        <w:pStyle w:val="Pardeliste"/>
        <w:numPr>
          <w:ilvl w:val="1"/>
          <w:numId w:val="6"/>
        </w:numPr>
        <w:rPr>
          <w:b/>
          <w:bCs/>
          <w:color w:val="00B050"/>
        </w:rPr>
      </w:pPr>
      <w:r w:rsidRPr="001C7087">
        <w:rPr>
          <w:b/>
          <w:bCs/>
          <w:color w:val="00B050"/>
        </w:rPr>
        <w:t>Faux</w:t>
      </w:r>
    </w:p>
    <w:p w14:paraId="6857A482" w14:textId="77777777" w:rsidR="001C7087" w:rsidRPr="00982D8F" w:rsidRDefault="001C7087" w:rsidP="001C7087">
      <w:pPr>
        <w:pStyle w:val="Pardeliste"/>
      </w:pPr>
    </w:p>
    <w:sectPr w:rsidR="001C7087" w:rsidRPr="00982D8F" w:rsidSect="004C597B">
      <w:headerReference w:type="default" r:id="rId13"/>
      <w:pgSz w:w="11906" w:h="16838"/>
      <w:pgMar w:top="1134" w:right="991" w:bottom="1276" w:left="993"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FC3CB" w14:textId="77777777" w:rsidR="00F843FA" w:rsidRDefault="00F843FA" w:rsidP="006833E1">
      <w:pPr>
        <w:spacing w:after="0" w:line="240" w:lineRule="auto"/>
      </w:pPr>
      <w:r>
        <w:separator/>
      </w:r>
    </w:p>
  </w:endnote>
  <w:endnote w:type="continuationSeparator" w:id="0">
    <w:p w14:paraId="4DCFD22D" w14:textId="77777777" w:rsidR="00F843FA" w:rsidRDefault="00F843FA" w:rsidP="0068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33210" w14:textId="77777777" w:rsidR="00F843FA" w:rsidRDefault="00F843FA" w:rsidP="006833E1">
      <w:pPr>
        <w:spacing w:after="0" w:line="240" w:lineRule="auto"/>
      </w:pPr>
      <w:r>
        <w:separator/>
      </w:r>
    </w:p>
  </w:footnote>
  <w:footnote w:type="continuationSeparator" w:id="0">
    <w:p w14:paraId="4F49A635" w14:textId="77777777" w:rsidR="00F843FA" w:rsidRDefault="00F843FA" w:rsidP="006833E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D319" w14:textId="11226E0F" w:rsidR="00982D8F" w:rsidRPr="004F0C7A" w:rsidRDefault="004F0C7A" w:rsidP="004F0C7A">
    <w:pPr>
      <w:pStyle w:val="En-tte"/>
    </w:pPr>
    <w:r>
      <w:t>Economie-droit_TSTMG_Thème10_SupportProfesseur_séquence_EchangesMultipolairesInternationaux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D5218"/>
    <w:multiLevelType w:val="hybridMultilevel"/>
    <w:tmpl w:val="7E24A132"/>
    <w:lvl w:ilvl="0" w:tplc="CD08575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23F6C"/>
    <w:multiLevelType w:val="hybridMultilevel"/>
    <w:tmpl w:val="8B8853B8"/>
    <w:lvl w:ilvl="0" w:tplc="CB1A1D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B03E06"/>
    <w:multiLevelType w:val="hybridMultilevel"/>
    <w:tmpl w:val="5CF0C3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B02D8A"/>
    <w:multiLevelType w:val="multilevel"/>
    <w:tmpl w:val="973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17CE8"/>
    <w:multiLevelType w:val="hybridMultilevel"/>
    <w:tmpl w:val="4ACE30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F51C19"/>
    <w:multiLevelType w:val="hybridMultilevel"/>
    <w:tmpl w:val="F6DACA98"/>
    <w:lvl w:ilvl="0" w:tplc="1EEE14E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EE5378"/>
    <w:multiLevelType w:val="hybridMultilevel"/>
    <w:tmpl w:val="23CE10CC"/>
    <w:lvl w:ilvl="0" w:tplc="140C6A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E1"/>
    <w:rsid w:val="00053737"/>
    <w:rsid w:val="000E778F"/>
    <w:rsid w:val="001C7087"/>
    <w:rsid w:val="00275291"/>
    <w:rsid w:val="002C6188"/>
    <w:rsid w:val="003E36A9"/>
    <w:rsid w:val="004358BD"/>
    <w:rsid w:val="00466F3C"/>
    <w:rsid w:val="004B49F3"/>
    <w:rsid w:val="004C597B"/>
    <w:rsid w:val="004E1DDD"/>
    <w:rsid w:val="004F0C7A"/>
    <w:rsid w:val="00562921"/>
    <w:rsid w:val="005E0075"/>
    <w:rsid w:val="005F3242"/>
    <w:rsid w:val="006833E1"/>
    <w:rsid w:val="006F01BF"/>
    <w:rsid w:val="00813782"/>
    <w:rsid w:val="00881CBC"/>
    <w:rsid w:val="008D2907"/>
    <w:rsid w:val="0092689F"/>
    <w:rsid w:val="00982D8F"/>
    <w:rsid w:val="009A36F4"/>
    <w:rsid w:val="009D50DC"/>
    <w:rsid w:val="009E0EFA"/>
    <w:rsid w:val="009F421D"/>
    <w:rsid w:val="00A9296F"/>
    <w:rsid w:val="00AB568D"/>
    <w:rsid w:val="00AC657A"/>
    <w:rsid w:val="00B13802"/>
    <w:rsid w:val="00B24950"/>
    <w:rsid w:val="00B53328"/>
    <w:rsid w:val="00CB26AC"/>
    <w:rsid w:val="00D174F1"/>
    <w:rsid w:val="00DA7215"/>
    <w:rsid w:val="00E55A96"/>
    <w:rsid w:val="00EE5C1E"/>
    <w:rsid w:val="00F66F5F"/>
    <w:rsid w:val="00F75CF3"/>
    <w:rsid w:val="00F843FA"/>
    <w:rsid w:val="00F93ECD"/>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AE6B"/>
  <w15:docId w15:val="{8E0A4AD7-CD41-46C8-B85A-92489BF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9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33E1"/>
    <w:pPr>
      <w:tabs>
        <w:tab w:val="center" w:pos="4536"/>
        <w:tab w:val="right" w:pos="9072"/>
      </w:tabs>
      <w:spacing w:after="0" w:line="240" w:lineRule="auto"/>
    </w:pPr>
  </w:style>
  <w:style w:type="character" w:customStyle="1" w:styleId="En-tteCar">
    <w:name w:val="En-tête Car"/>
    <w:basedOn w:val="Policepardfaut"/>
    <w:link w:val="En-tte"/>
    <w:uiPriority w:val="99"/>
    <w:rsid w:val="006833E1"/>
  </w:style>
  <w:style w:type="paragraph" w:styleId="Pieddepage">
    <w:name w:val="footer"/>
    <w:basedOn w:val="Normal"/>
    <w:link w:val="PieddepageCar"/>
    <w:uiPriority w:val="99"/>
    <w:unhideWhenUsed/>
    <w:rsid w:val="006833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3E1"/>
  </w:style>
  <w:style w:type="paragraph" w:styleId="Textedebulles">
    <w:name w:val="Balloon Text"/>
    <w:basedOn w:val="Normal"/>
    <w:link w:val="TextedebullesCar"/>
    <w:uiPriority w:val="99"/>
    <w:semiHidden/>
    <w:unhideWhenUsed/>
    <w:rsid w:val="00F75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CF3"/>
    <w:rPr>
      <w:rFonts w:ascii="Tahoma" w:hAnsi="Tahoma" w:cs="Tahoma"/>
      <w:sz w:val="16"/>
      <w:szCs w:val="16"/>
    </w:rPr>
  </w:style>
  <w:style w:type="paragraph" w:styleId="Pardeliste">
    <w:name w:val="List Paragraph"/>
    <w:basedOn w:val="Normal"/>
    <w:uiPriority w:val="34"/>
    <w:qFormat/>
    <w:rsid w:val="00D174F1"/>
    <w:pPr>
      <w:ind w:left="720"/>
      <w:contextualSpacing/>
    </w:pPr>
    <w:rPr>
      <w:rFonts w:ascii="Calibri" w:eastAsia="Calibri" w:hAnsi="Calibri" w:cs="Times New Roman"/>
      <w:lang w:eastAsia="en-US" w:bidi="ar-SA"/>
    </w:rPr>
  </w:style>
  <w:style w:type="character" w:styleId="Lienhypertexte">
    <w:name w:val="Hyperlink"/>
    <w:basedOn w:val="Policepardfaut"/>
    <w:uiPriority w:val="99"/>
    <w:unhideWhenUsed/>
    <w:rsid w:val="00D174F1"/>
    <w:rPr>
      <w:color w:val="0000FF"/>
      <w:u w:val="single"/>
    </w:rPr>
  </w:style>
  <w:style w:type="character" w:styleId="lev">
    <w:name w:val="Strong"/>
    <w:basedOn w:val="Policepardfaut"/>
    <w:uiPriority w:val="22"/>
    <w:qFormat/>
    <w:rsid w:val="00562921"/>
    <w:rPr>
      <w:rFonts w:cs="Times New Roman"/>
      <w:b/>
      <w:bCs/>
    </w:rPr>
  </w:style>
  <w:style w:type="paragraph" w:customStyle="1" w:styleId="07ReponseLDP">
    <w:name w:val="07_ReponseLDP"/>
    <w:basedOn w:val="Normal"/>
    <w:qFormat/>
    <w:rsid w:val="00F93ECD"/>
    <w:pPr>
      <w:spacing w:after="0" w:line="240" w:lineRule="auto"/>
      <w:jc w:val="both"/>
    </w:pPr>
    <w:rPr>
      <w:rFonts w:ascii="Times New Roman" w:eastAsia="Times New Roman" w:hAnsi="Times New Roman" w:cs="Times New Roman"/>
      <w:lang w:eastAsia="fr-FR" w:bidi="ar-SA"/>
    </w:rPr>
  </w:style>
  <w:style w:type="character" w:customStyle="1" w:styleId="idocinitials">
    <w:name w:val="idocinitials"/>
    <w:basedOn w:val="Policepardfaut"/>
    <w:rsid w:val="004C597B"/>
  </w:style>
  <w:style w:type="character" w:customStyle="1" w:styleId="UnresolvedMention">
    <w:name w:val="Unresolved Mention"/>
    <w:basedOn w:val="Policepardfaut"/>
    <w:uiPriority w:val="99"/>
    <w:semiHidden/>
    <w:unhideWhenUsed/>
    <w:rsid w:val="009E0EFA"/>
    <w:rPr>
      <w:color w:val="605E5C"/>
      <w:shd w:val="clear" w:color="auto" w:fill="E1DFDD"/>
    </w:rPr>
  </w:style>
  <w:style w:type="character" w:customStyle="1" w:styleId="h5p-input-wrapper">
    <w:name w:val="h5p-input-wrapper"/>
    <w:basedOn w:val="Policepardfaut"/>
    <w:rsid w:val="00982D8F"/>
  </w:style>
  <w:style w:type="character" w:customStyle="1" w:styleId="h5p-hidden-read">
    <w:name w:val="h5p-hidden-read"/>
    <w:basedOn w:val="Policepardfaut"/>
    <w:rsid w:val="00982D8F"/>
  </w:style>
  <w:style w:type="paragraph" w:styleId="Normalweb">
    <w:name w:val="Normal (Web)"/>
    <w:basedOn w:val="Normal"/>
    <w:uiPriority w:val="99"/>
    <w:unhideWhenUsed/>
    <w:rsid w:val="00982D8F"/>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h5p-answer">
    <w:name w:val="h5p-answer"/>
    <w:basedOn w:val="Normal"/>
    <w:rsid w:val="00982D8F"/>
    <w:pPr>
      <w:spacing w:before="100" w:beforeAutospacing="1" w:after="100" w:afterAutospacing="1" w:line="240" w:lineRule="auto"/>
    </w:pPr>
    <w:rPr>
      <w:rFonts w:ascii="Times New Roman" w:eastAsia="Times New Roman"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48935">
      <w:bodyDiv w:val="1"/>
      <w:marLeft w:val="0"/>
      <w:marRight w:val="0"/>
      <w:marTop w:val="0"/>
      <w:marBottom w:val="0"/>
      <w:divBdr>
        <w:top w:val="none" w:sz="0" w:space="0" w:color="auto"/>
        <w:left w:val="none" w:sz="0" w:space="0" w:color="auto"/>
        <w:bottom w:val="none" w:sz="0" w:space="0" w:color="auto"/>
        <w:right w:val="none" w:sz="0" w:space="0" w:color="auto"/>
      </w:divBdr>
    </w:div>
    <w:div w:id="381516151">
      <w:bodyDiv w:val="1"/>
      <w:marLeft w:val="0"/>
      <w:marRight w:val="0"/>
      <w:marTop w:val="0"/>
      <w:marBottom w:val="0"/>
      <w:divBdr>
        <w:top w:val="none" w:sz="0" w:space="0" w:color="auto"/>
        <w:left w:val="none" w:sz="0" w:space="0" w:color="auto"/>
        <w:bottom w:val="none" w:sz="0" w:space="0" w:color="auto"/>
        <w:right w:val="none" w:sz="0" w:space="0" w:color="auto"/>
      </w:divBdr>
      <w:divsChild>
        <w:div w:id="687684123">
          <w:marLeft w:val="0"/>
          <w:marRight w:val="0"/>
          <w:marTop w:val="0"/>
          <w:marBottom w:val="0"/>
          <w:divBdr>
            <w:top w:val="none" w:sz="0" w:space="0" w:color="auto"/>
            <w:left w:val="none" w:sz="0" w:space="0" w:color="auto"/>
            <w:bottom w:val="none" w:sz="0" w:space="0" w:color="auto"/>
            <w:right w:val="none" w:sz="0" w:space="0" w:color="auto"/>
          </w:divBdr>
          <w:divsChild>
            <w:div w:id="2074619191">
              <w:marLeft w:val="0"/>
              <w:marRight w:val="0"/>
              <w:marTop w:val="0"/>
              <w:marBottom w:val="0"/>
              <w:divBdr>
                <w:top w:val="none" w:sz="0" w:space="0" w:color="auto"/>
                <w:left w:val="none" w:sz="0" w:space="0" w:color="auto"/>
                <w:bottom w:val="none" w:sz="0" w:space="0" w:color="auto"/>
                <w:right w:val="none" w:sz="0" w:space="0" w:color="auto"/>
              </w:divBdr>
            </w:div>
          </w:divsChild>
        </w:div>
        <w:div w:id="1277524381">
          <w:marLeft w:val="0"/>
          <w:marRight w:val="0"/>
          <w:marTop w:val="0"/>
          <w:marBottom w:val="0"/>
          <w:divBdr>
            <w:top w:val="none" w:sz="0" w:space="0" w:color="auto"/>
            <w:left w:val="none" w:sz="0" w:space="0" w:color="auto"/>
            <w:bottom w:val="none" w:sz="0" w:space="0" w:color="auto"/>
            <w:right w:val="none" w:sz="0" w:space="0" w:color="auto"/>
          </w:divBdr>
          <w:divsChild>
            <w:div w:id="739140403">
              <w:marLeft w:val="0"/>
              <w:marRight w:val="0"/>
              <w:marTop w:val="0"/>
              <w:marBottom w:val="0"/>
              <w:divBdr>
                <w:top w:val="none" w:sz="0" w:space="0" w:color="auto"/>
                <w:left w:val="none" w:sz="0" w:space="0" w:color="auto"/>
                <w:bottom w:val="none" w:sz="0" w:space="0" w:color="auto"/>
                <w:right w:val="none" w:sz="0" w:space="0" w:color="auto"/>
              </w:divBdr>
              <w:divsChild>
                <w:div w:id="410274746">
                  <w:marLeft w:val="0"/>
                  <w:marRight w:val="0"/>
                  <w:marTop w:val="0"/>
                  <w:marBottom w:val="0"/>
                  <w:divBdr>
                    <w:top w:val="none" w:sz="0" w:space="0" w:color="auto"/>
                    <w:left w:val="none" w:sz="0" w:space="0" w:color="auto"/>
                    <w:bottom w:val="none" w:sz="0" w:space="0" w:color="auto"/>
                    <w:right w:val="none" w:sz="0" w:space="0" w:color="auto"/>
                  </w:divBdr>
                </w:div>
              </w:divsChild>
            </w:div>
            <w:div w:id="868302286">
              <w:marLeft w:val="0"/>
              <w:marRight w:val="0"/>
              <w:marTop w:val="0"/>
              <w:marBottom w:val="0"/>
              <w:divBdr>
                <w:top w:val="none" w:sz="0" w:space="0" w:color="auto"/>
                <w:left w:val="none" w:sz="0" w:space="0" w:color="auto"/>
                <w:bottom w:val="none" w:sz="0" w:space="0" w:color="auto"/>
                <w:right w:val="none" w:sz="0" w:space="0" w:color="auto"/>
              </w:divBdr>
              <w:divsChild>
                <w:div w:id="1042559911">
                  <w:marLeft w:val="0"/>
                  <w:marRight w:val="0"/>
                  <w:marTop w:val="0"/>
                  <w:marBottom w:val="0"/>
                  <w:divBdr>
                    <w:top w:val="none" w:sz="0" w:space="0" w:color="auto"/>
                    <w:left w:val="none" w:sz="0" w:space="0" w:color="auto"/>
                    <w:bottom w:val="none" w:sz="0" w:space="0" w:color="auto"/>
                    <w:right w:val="none" w:sz="0" w:space="0" w:color="auto"/>
                  </w:divBdr>
                </w:div>
              </w:divsChild>
            </w:div>
            <w:div w:id="416026610">
              <w:marLeft w:val="0"/>
              <w:marRight w:val="0"/>
              <w:marTop w:val="0"/>
              <w:marBottom w:val="0"/>
              <w:divBdr>
                <w:top w:val="none" w:sz="0" w:space="0" w:color="auto"/>
                <w:left w:val="none" w:sz="0" w:space="0" w:color="auto"/>
                <w:bottom w:val="none" w:sz="0" w:space="0" w:color="auto"/>
                <w:right w:val="none" w:sz="0" w:space="0" w:color="auto"/>
              </w:divBdr>
              <w:divsChild>
                <w:div w:id="284583760">
                  <w:marLeft w:val="0"/>
                  <w:marRight w:val="0"/>
                  <w:marTop w:val="0"/>
                  <w:marBottom w:val="0"/>
                  <w:divBdr>
                    <w:top w:val="none" w:sz="0" w:space="0" w:color="auto"/>
                    <w:left w:val="none" w:sz="0" w:space="0" w:color="auto"/>
                    <w:bottom w:val="none" w:sz="0" w:space="0" w:color="auto"/>
                    <w:right w:val="none" w:sz="0" w:space="0" w:color="auto"/>
                  </w:divBdr>
                </w:div>
              </w:divsChild>
            </w:div>
            <w:div w:id="142819203">
              <w:marLeft w:val="0"/>
              <w:marRight w:val="0"/>
              <w:marTop w:val="0"/>
              <w:marBottom w:val="0"/>
              <w:divBdr>
                <w:top w:val="none" w:sz="0" w:space="0" w:color="auto"/>
                <w:left w:val="none" w:sz="0" w:space="0" w:color="auto"/>
                <w:bottom w:val="none" w:sz="0" w:space="0" w:color="auto"/>
                <w:right w:val="none" w:sz="0" w:space="0" w:color="auto"/>
              </w:divBdr>
              <w:divsChild>
                <w:div w:id="852501240">
                  <w:marLeft w:val="0"/>
                  <w:marRight w:val="0"/>
                  <w:marTop w:val="0"/>
                  <w:marBottom w:val="0"/>
                  <w:divBdr>
                    <w:top w:val="none" w:sz="0" w:space="0" w:color="auto"/>
                    <w:left w:val="none" w:sz="0" w:space="0" w:color="auto"/>
                    <w:bottom w:val="none" w:sz="0" w:space="0" w:color="auto"/>
                    <w:right w:val="none" w:sz="0" w:space="0" w:color="auto"/>
                  </w:divBdr>
                </w:div>
              </w:divsChild>
            </w:div>
            <w:div w:id="78604591">
              <w:marLeft w:val="0"/>
              <w:marRight w:val="0"/>
              <w:marTop w:val="0"/>
              <w:marBottom w:val="0"/>
              <w:divBdr>
                <w:top w:val="none" w:sz="0" w:space="0" w:color="auto"/>
                <w:left w:val="none" w:sz="0" w:space="0" w:color="auto"/>
                <w:bottom w:val="none" w:sz="0" w:space="0" w:color="auto"/>
                <w:right w:val="none" w:sz="0" w:space="0" w:color="auto"/>
              </w:divBdr>
              <w:divsChild>
                <w:div w:id="415515282">
                  <w:marLeft w:val="0"/>
                  <w:marRight w:val="0"/>
                  <w:marTop w:val="0"/>
                  <w:marBottom w:val="0"/>
                  <w:divBdr>
                    <w:top w:val="none" w:sz="0" w:space="0" w:color="auto"/>
                    <w:left w:val="none" w:sz="0" w:space="0" w:color="auto"/>
                    <w:bottom w:val="none" w:sz="0" w:space="0" w:color="auto"/>
                    <w:right w:val="none" w:sz="0" w:space="0" w:color="auto"/>
                  </w:divBdr>
                </w:div>
              </w:divsChild>
            </w:div>
            <w:div w:id="1544058857">
              <w:marLeft w:val="0"/>
              <w:marRight w:val="0"/>
              <w:marTop w:val="0"/>
              <w:marBottom w:val="0"/>
              <w:divBdr>
                <w:top w:val="none" w:sz="0" w:space="0" w:color="auto"/>
                <w:left w:val="none" w:sz="0" w:space="0" w:color="auto"/>
                <w:bottom w:val="none" w:sz="0" w:space="0" w:color="auto"/>
                <w:right w:val="none" w:sz="0" w:space="0" w:color="auto"/>
              </w:divBdr>
              <w:divsChild>
                <w:div w:id="14724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72887">
      <w:bodyDiv w:val="1"/>
      <w:marLeft w:val="0"/>
      <w:marRight w:val="0"/>
      <w:marTop w:val="0"/>
      <w:marBottom w:val="0"/>
      <w:divBdr>
        <w:top w:val="none" w:sz="0" w:space="0" w:color="auto"/>
        <w:left w:val="none" w:sz="0" w:space="0" w:color="auto"/>
        <w:bottom w:val="none" w:sz="0" w:space="0" w:color="auto"/>
        <w:right w:val="none" w:sz="0" w:space="0" w:color="auto"/>
      </w:divBdr>
      <w:divsChild>
        <w:div w:id="180665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wmf"/><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9xD4G55MERQ" TargetMode="External"/><Relationship Id="rId8" Type="http://schemas.openxmlformats.org/officeDocument/2006/relationships/hyperlink" Target="http://www.insee.fr/fr/methodes/default.asp?page=definitions/biens.htm" TargetMode="Externa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6444</Characters>
  <Application>Microsoft Macintosh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dc:creator>
  <cp:lastModifiedBy>Herve Leclerc</cp:lastModifiedBy>
  <cp:revision>2</cp:revision>
  <dcterms:created xsi:type="dcterms:W3CDTF">2020-03-25T11:12:00Z</dcterms:created>
  <dcterms:modified xsi:type="dcterms:W3CDTF">2020-03-25T11:12:00Z</dcterms:modified>
</cp:coreProperties>
</file>